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070B" w14:textId="77777777" w:rsidR="00591DA1" w:rsidRDefault="00CB0F2E" w:rsidP="00591DA1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第九</w:t>
      </w:r>
      <w:r w:rsidR="00591DA1">
        <w:rPr>
          <w:rFonts w:ascii="华文宋体" w:eastAsia="华文宋体" w:hAnsi="华文宋体" w:hint="eastAsia"/>
          <w:lang w:eastAsia="zh-CN"/>
        </w:rPr>
        <w:t xml:space="preserve">课 </w:t>
      </w:r>
      <w:r>
        <w:rPr>
          <w:rFonts w:ascii="华文宋体" w:eastAsia="华文宋体" w:hAnsi="华文宋体" w:hint="eastAsia"/>
          <w:lang w:eastAsia="zh-CN"/>
        </w:rPr>
        <w:t>蒙头</w:t>
      </w:r>
    </w:p>
    <w:p w14:paraId="22018596" w14:textId="77777777" w:rsidR="00E95797" w:rsidRDefault="00E95797" w:rsidP="00E95797">
      <w:pPr>
        <w:spacing w:after="0"/>
        <w:rPr>
          <w:rFonts w:ascii="华文宋体" w:eastAsia="华文宋体" w:hAnsi="华文宋体"/>
          <w:lang w:eastAsia="zh-CN"/>
        </w:rPr>
      </w:pPr>
    </w:p>
    <w:p w14:paraId="2F6E8B2F" w14:textId="77777777" w:rsidR="00E95797" w:rsidRDefault="00E95797" w:rsidP="00E9579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11:2-14:40 的结构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  <w:r>
        <w:rPr>
          <w:rFonts w:ascii="华文宋体" w:eastAsia="华文宋体" w:hAnsi="华文宋体" w:hint="eastAsia"/>
          <w:lang w:eastAsia="zh-CN"/>
        </w:rPr>
        <w:t>： 关于崇拜的问题</w:t>
      </w:r>
    </w:p>
    <w:p w14:paraId="3EDE4CB0" w14:textId="77777777" w:rsidR="00E95797" w:rsidRDefault="00E95797" w:rsidP="00E95797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11:2-11:16 女人在祷告和讲道时蒙头的问题</w:t>
      </w:r>
    </w:p>
    <w:p w14:paraId="7130C1C5" w14:textId="77777777" w:rsidR="00E95797" w:rsidRDefault="00E95797" w:rsidP="00E95797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11:17-34  在主餐上欺负贫穷的弟兄姊妹</w:t>
      </w:r>
    </w:p>
    <w:p w14:paraId="7686877E" w14:textId="77777777" w:rsidR="00E95797" w:rsidRDefault="00E95797" w:rsidP="00E95797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12-14 在聚会的时候滥用讲方言恩赐的问题</w:t>
      </w:r>
    </w:p>
    <w:p w14:paraId="2208E064" w14:textId="77777777" w:rsidR="00E95797" w:rsidRDefault="00E95797" w:rsidP="00E95797">
      <w:pPr>
        <w:pStyle w:val="ListParagraph"/>
        <w:spacing w:after="0"/>
        <w:rPr>
          <w:rFonts w:ascii="华文宋体" w:eastAsia="华文宋体" w:hAnsi="华文宋体"/>
          <w:lang w:eastAsia="zh-CN"/>
        </w:rPr>
      </w:pPr>
    </w:p>
    <w:p w14:paraId="49951A4B" w14:textId="77777777" w:rsidR="00E95797" w:rsidRDefault="00E95797" w:rsidP="00E9579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关于蒙头问题的难点</w:t>
      </w:r>
    </w:p>
    <w:p w14:paraId="781E9166" w14:textId="77777777" w:rsidR="00E95797" w:rsidRDefault="00E95797" w:rsidP="00E9579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很难确定 </w:t>
      </w:r>
      <w:r>
        <w:rPr>
          <w:rFonts w:ascii="华文宋体" w:eastAsia="华文宋体" w:hAnsi="华文宋体"/>
          <w:lang w:eastAsia="zh-CN"/>
        </w:rPr>
        <w:t>“</w:t>
      </w:r>
      <w:r>
        <w:rPr>
          <w:rFonts w:ascii="华文宋体" w:eastAsia="华文宋体" w:hAnsi="华文宋体" w:hint="eastAsia"/>
          <w:lang w:eastAsia="zh-CN"/>
        </w:rPr>
        <w:t>蒙头</w:t>
      </w:r>
      <w:r>
        <w:rPr>
          <w:rFonts w:ascii="华文宋体" w:eastAsia="华文宋体" w:hAnsi="华文宋体"/>
          <w:lang w:eastAsia="zh-CN"/>
        </w:rPr>
        <w:t>”</w:t>
      </w:r>
      <w:r>
        <w:rPr>
          <w:rFonts w:ascii="华文宋体" w:eastAsia="华文宋体" w:hAnsi="华文宋体" w:hint="eastAsia"/>
          <w:lang w:eastAsia="zh-CN"/>
        </w:rPr>
        <w:t>到底指的是什么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"/>
      </w:r>
      <w:r>
        <w:rPr>
          <w:rFonts w:ascii="华文宋体" w:eastAsia="华文宋体" w:hAnsi="华文宋体" w:hint="eastAsia"/>
          <w:lang w:eastAsia="zh-CN"/>
        </w:rPr>
        <w:t>?</w:t>
      </w:r>
    </w:p>
    <w:p w14:paraId="47BCF44F" w14:textId="6D7112F3" w:rsidR="00E95797" w:rsidRDefault="00E95797" w:rsidP="00E95797">
      <w:pPr>
        <w:pStyle w:val="ListParagraph"/>
        <w:numPr>
          <w:ilvl w:val="0"/>
          <w:numId w:val="7"/>
        </w:numPr>
        <w:spacing w:after="0"/>
        <w:ind w:left="107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戴某种装饰 (帽子, 纱巾等)</w:t>
      </w:r>
      <w:r>
        <w:rPr>
          <w:rFonts w:ascii="华文宋体" w:eastAsia="华文宋体" w:hAnsi="华文宋体" w:hint="eastAsia"/>
          <w:lang w:eastAsia="zh-CN"/>
        </w:rPr>
        <w:t>？</w:t>
      </w:r>
    </w:p>
    <w:p w14:paraId="36F55716" w14:textId="25F0EAD1" w:rsidR="00E95797" w:rsidRDefault="00E95797" w:rsidP="00E95797">
      <w:pPr>
        <w:pStyle w:val="ListParagraph"/>
        <w:numPr>
          <w:ilvl w:val="0"/>
          <w:numId w:val="7"/>
        </w:numPr>
        <w:spacing w:after="0"/>
        <w:ind w:left="107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留长发</w:t>
      </w:r>
      <w:r>
        <w:rPr>
          <w:rFonts w:ascii="华文宋体" w:eastAsia="华文宋体" w:hAnsi="华文宋体" w:hint="eastAsia"/>
          <w:lang w:eastAsia="zh-CN"/>
        </w:rPr>
        <w:t>？</w:t>
      </w:r>
    </w:p>
    <w:p w14:paraId="7D1ABF67" w14:textId="10D57DED" w:rsidR="00E95797" w:rsidRDefault="00E95797" w:rsidP="00E95797">
      <w:pPr>
        <w:pStyle w:val="ListParagraph"/>
        <w:numPr>
          <w:ilvl w:val="0"/>
          <w:numId w:val="7"/>
        </w:numPr>
        <w:spacing w:after="0"/>
        <w:ind w:left="107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最近几个学者建议:根据LXX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3"/>
      </w:r>
      <w:r>
        <w:rPr>
          <w:rFonts w:ascii="华文宋体" w:eastAsia="华文宋体" w:hAnsi="华文宋体" w:hint="eastAsia"/>
          <w:lang w:eastAsia="zh-CN"/>
        </w:rPr>
        <w:t>版本,</w:t>
      </w:r>
      <w:r>
        <w:rPr>
          <w:rFonts w:ascii="华文宋体" w:eastAsia="华文宋体" w:hAnsi="华文宋体"/>
          <w:lang w:eastAsia="zh-CN"/>
        </w:rPr>
        <w:t xml:space="preserve"> “</w:t>
      </w:r>
      <w:r>
        <w:rPr>
          <w:rFonts w:ascii="华文宋体" w:eastAsia="华文宋体" w:hAnsi="华文宋体" w:hint="eastAsia"/>
          <w:lang w:eastAsia="zh-CN"/>
        </w:rPr>
        <w:t>不</w:t>
      </w:r>
      <w:r>
        <w:rPr>
          <w:rFonts w:ascii="华文宋体" w:eastAsia="华文宋体" w:hAnsi="华文宋体" w:hint="eastAsia"/>
          <w:lang w:eastAsia="zh-CN"/>
        </w:rPr>
        <w:t>蒙住的</w:t>
      </w:r>
      <w:r>
        <w:rPr>
          <w:rFonts w:ascii="华文宋体" w:eastAsia="华文宋体" w:hAnsi="华文宋体"/>
          <w:lang w:eastAsia="zh-CN"/>
        </w:rPr>
        <w:t>”</w:t>
      </w:r>
      <w:r>
        <w:rPr>
          <w:rFonts w:ascii="华文宋体" w:eastAsia="华文宋体" w:hAnsi="华文宋体" w:hint="eastAsia"/>
          <w:lang w:eastAsia="zh-CN"/>
        </w:rPr>
        <w:t>这个形容词的用法通常指的是</w:t>
      </w:r>
      <w:r>
        <w:rPr>
          <w:rFonts w:ascii="华文宋体" w:eastAsia="华文宋体" w:hAnsi="华文宋体"/>
          <w:lang w:eastAsia="zh-CN"/>
        </w:rPr>
        <w:t>“</w:t>
      </w:r>
      <w:r>
        <w:rPr>
          <w:rFonts w:ascii="华文宋体" w:eastAsia="华文宋体" w:hAnsi="华文宋体" w:hint="eastAsia"/>
          <w:lang w:eastAsia="zh-CN"/>
        </w:rPr>
        <w:t>松开的头发</w:t>
      </w:r>
      <w:r>
        <w:rPr>
          <w:rFonts w:ascii="华文宋体" w:eastAsia="华文宋体" w:hAnsi="华文宋体"/>
          <w:lang w:eastAsia="zh-CN"/>
        </w:rPr>
        <w:t>”</w:t>
      </w:r>
      <w:r>
        <w:rPr>
          <w:rFonts w:ascii="华文宋体" w:eastAsia="华文宋体" w:hAnsi="华文宋体" w:hint="eastAsia"/>
          <w:lang w:eastAsia="zh-CN"/>
        </w:rPr>
        <w:t>？</w:t>
      </w:r>
    </w:p>
    <w:p w14:paraId="062DDF83" w14:textId="77777777" w:rsidR="00E95797" w:rsidRDefault="00E95797" w:rsidP="00E9579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很难确定“头”作为比喻的时候到底指的是什么？</w:t>
      </w:r>
    </w:p>
    <w:p w14:paraId="28E45944" w14:textId="77777777" w:rsidR="00E95797" w:rsidRDefault="00E95797" w:rsidP="00E95797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“权柄”（</w:t>
      </w:r>
      <w:r>
        <w:rPr>
          <w:rFonts w:ascii="华文宋体" w:eastAsia="华文宋体" w:hAnsi="华文宋体"/>
          <w:lang w:eastAsia="zh-CN"/>
        </w:rPr>
        <w:t xml:space="preserve"> “authority over”</w:t>
      </w:r>
      <w:r>
        <w:rPr>
          <w:rFonts w:ascii="华文宋体" w:eastAsia="华文宋体" w:hAnsi="华文宋体" w:hint="eastAsia"/>
          <w:lang w:eastAsia="zh-CN"/>
        </w:rPr>
        <w:t>）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4"/>
      </w:r>
    </w:p>
    <w:p w14:paraId="5B4153C7" w14:textId="77777777" w:rsidR="00E95797" w:rsidRDefault="00E95797" w:rsidP="00E95797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“源头”（“</w:t>
      </w:r>
      <w:r>
        <w:rPr>
          <w:rFonts w:ascii="华文宋体" w:eastAsia="华文宋体" w:hAnsi="华文宋体"/>
          <w:lang w:eastAsia="zh-CN"/>
        </w:rPr>
        <w:t>source</w:t>
      </w:r>
      <w:r>
        <w:rPr>
          <w:rFonts w:ascii="华文宋体" w:eastAsia="华文宋体" w:hAnsi="华文宋体" w:hint="eastAsia"/>
          <w:lang w:eastAsia="zh-CN"/>
        </w:rPr>
        <w:t>”）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5"/>
      </w:r>
    </w:p>
    <w:p w14:paraId="7437DD78" w14:textId="77777777" w:rsidR="00E95797" w:rsidRDefault="00E95797" w:rsidP="00E9579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为什么保罗特别强调是在讲道和祷告的时候女人应该蒙头，而男人不应该蒙头？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6"/>
      </w:r>
    </w:p>
    <w:p w14:paraId="1E383F2E" w14:textId="77777777" w:rsidR="00E95797" w:rsidRPr="00611826" w:rsidRDefault="00E95797" w:rsidP="00E95797">
      <w:pPr>
        <w:pStyle w:val="ListParagraph"/>
        <w:spacing w:after="0"/>
        <w:ind w:left="786"/>
        <w:rPr>
          <w:rFonts w:ascii="华文宋体" w:eastAsia="华文宋体" w:hAnsi="华文宋体" w:hint="eastAsia"/>
          <w:lang w:eastAsia="zh-CN"/>
        </w:rPr>
      </w:pPr>
    </w:p>
    <w:p w14:paraId="6EDC817A" w14:textId="77777777" w:rsidR="00E95797" w:rsidRDefault="00E95797" w:rsidP="00E9579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历史背景</w:t>
      </w:r>
    </w:p>
    <w:p w14:paraId="1C602740" w14:textId="77777777" w:rsidR="00E95797" w:rsidRDefault="00E95797" w:rsidP="00E95797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很有可能这些问题的女人认识到基督里的新自由 （加3：27-28）</w:t>
      </w:r>
    </w:p>
    <w:p w14:paraId="2FCE7487" w14:textId="77777777" w:rsidR="00E95797" w:rsidRDefault="00E95797" w:rsidP="00E95797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但是这些女人行使她们的自由过于极端，反而给外人不好的榜样</w:t>
      </w:r>
      <w:r>
        <w:rPr>
          <w:rFonts w:ascii="华文宋体" w:eastAsia="华文宋体" w:hAnsi="华文宋体"/>
          <w:lang w:eastAsia="zh-CN"/>
        </w:rPr>
        <w:t xml:space="preserve">, </w:t>
      </w:r>
      <w:r>
        <w:rPr>
          <w:rFonts w:ascii="华文宋体" w:eastAsia="华文宋体" w:hAnsi="华文宋体" w:hint="eastAsia"/>
          <w:lang w:eastAsia="zh-CN"/>
        </w:rPr>
        <w:t>因为她们的行为混淆传统男女的界线。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7"/>
      </w:r>
    </w:p>
    <w:p w14:paraId="1E593450" w14:textId="77777777" w:rsidR="00E95797" w:rsidRDefault="00E95797" w:rsidP="00E95797">
      <w:pPr>
        <w:pStyle w:val="ListParagraph"/>
        <w:spacing w:after="0"/>
        <w:ind w:left="1070"/>
        <w:rPr>
          <w:rFonts w:ascii="华文宋体" w:eastAsia="华文宋体" w:hAnsi="华文宋体" w:hint="eastAsia"/>
          <w:lang w:eastAsia="zh-CN"/>
        </w:rPr>
      </w:pP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1928"/>
        <w:gridCol w:w="1965"/>
        <w:gridCol w:w="1965"/>
        <w:gridCol w:w="1928"/>
      </w:tblGrid>
      <w:tr w:rsidR="00E95797" w14:paraId="46F9A4F0" w14:textId="77777777" w:rsidTr="00CD17CE">
        <w:tc>
          <w:tcPr>
            <w:tcW w:w="1928" w:type="dxa"/>
          </w:tcPr>
          <w:p w14:paraId="5F38AFA9" w14:textId="77777777" w:rsidR="00E95797" w:rsidRDefault="00E95797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1965" w:type="dxa"/>
          </w:tcPr>
          <w:p w14:paraId="1CB7D4FE" w14:textId="77777777" w:rsidR="00E95797" w:rsidRPr="00CD17CE" w:rsidRDefault="00E95797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头发</w:t>
            </w:r>
          </w:p>
        </w:tc>
        <w:tc>
          <w:tcPr>
            <w:tcW w:w="1965" w:type="dxa"/>
          </w:tcPr>
          <w:p w14:paraId="5372CBA5" w14:textId="77777777" w:rsidR="00E95797" w:rsidRPr="00CD17CE" w:rsidRDefault="00E95797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外在装饰物</w:t>
            </w:r>
          </w:p>
        </w:tc>
        <w:tc>
          <w:tcPr>
            <w:tcW w:w="1928" w:type="dxa"/>
          </w:tcPr>
          <w:p w14:paraId="75FB5BB2" w14:textId="77777777" w:rsidR="00E95797" w:rsidRDefault="00E95797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  <w:tr w:rsidR="00CD17CE" w14:paraId="03CEC788" w14:textId="77777777" w:rsidTr="00CD17CE">
        <w:tc>
          <w:tcPr>
            <w:tcW w:w="1928" w:type="dxa"/>
            <w:vMerge w:val="restart"/>
          </w:tcPr>
          <w:p w14:paraId="72396CF7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罗马-希腊背景</w:t>
            </w:r>
          </w:p>
        </w:tc>
        <w:tc>
          <w:tcPr>
            <w:tcW w:w="1965" w:type="dxa"/>
          </w:tcPr>
          <w:p w14:paraId="20164182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长头发：同性恋</w:t>
            </w:r>
          </w:p>
        </w:tc>
        <w:tc>
          <w:tcPr>
            <w:tcW w:w="1965" w:type="dxa"/>
          </w:tcPr>
          <w:p w14:paraId="10DBE2C9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罗马祭司长袍蒙头</w:t>
            </w:r>
          </w:p>
        </w:tc>
        <w:tc>
          <w:tcPr>
            <w:tcW w:w="1928" w:type="dxa"/>
          </w:tcPr>
          <w:p w14:paraId="5E97E23B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男人</w:t>
            </w:r>
          </w:p>
        </w:tc>
      </w:tr>
      <w:tr w:rsidR="00CD17CE" w14:paraId="0CB63B3B" w14:textId="77777777" w:rsidTr="00CD17CE">
        <w:tc>
          <w:tcPr>
            <w:tcW w:w="1928" w:type="dxa"/>
            <w:vMerge/>
          </w:tcPr>
          <w:p w14:paraId="2EC95492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</w:p>
        </w:tc>
        <w:tc>
          <w:tcPr>
            <w:tcW w:w="1965" w:type="dxa"/>
          </w:tcPr>
          <w:p w14:paraId="7CBE264C" w14:textId="12E36854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短头发：同性恋中充当</w:t>
            </w: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男</w:t>
            </w:r>
            <w:bookmarkStart w:id="0" w:name="_GoBack"/>
            <w:bookmarkEnd w:id="0"/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性那方</w:t>
            </w:r>
          </w:p>
        </w:tc>
        <w:tc>
          <w:tcPr>
            <w:tcW w:w="1965" w:type="dxa"/>
          </w:tcPr>
          <w:p w14:paraId="25D039D5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已婚或者献祭的时候头蒙纱巾</w:t>
            </w:r>
          </w:p>
        </w:tc>
        <w:tc>
          <w:tcPr>
            <w:tcW w:w="1928" w:type="dxa"/>
          </w:tcPr>
          <w:p w14:paraId="40475C8C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女人</w:t>
            </w:r>
          </w:p>
        </w:tc>
      </w:tr>
      <w:tr w:rsidR="00CD17CE" w14:paraId="411A3A8D" w14:textId="77777777" w:rsidTr="00CD17CE">
        <w:tc>
          <w:tcPr>
            <w:tcW w:w="1928" w:type="dxa"/>
            <w:vMerge w:val="restart"/>
          </w:tcPr>
          <w:p w14:paraId="460B0E24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犹太背景</w:t>
            </w:r>
          </w:p>
        </w:tc>
        <w:tc>
          <w:tcPr>
            <w:tcW w:w="1965" w:type="dxa"/>
          </w:tcPr>
          <w:p w14:paraId="312A4E66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</w:p>
        </w:tc>
        <w:tc>
          <w:tcPr>
            <w:tcW w:w="1965" w:type="dxa"/>
          </w:tcPr>
          <w:p w14:paraId="3F0E784B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</w:p>
        </w:tc>
        <w:tc>
          <w:tcPr>
            <w:tcW w:w="1928" w:type="dxa"/>
          </w:tcPr>
          <w:p w14:paraId="2929BBE6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男人</w:t>
            </w:r>
          </w:p>
        </w:tc>
      </w:tr>
      <w:tr w:rsidR="00CD17CE" w14:paraId="44715BE2" w14:textId="77777777" w:rsidTr="00CD17CE">
        <w:tc>
          <w:tcPr>
            <w:tcW w:w="1928" w:type="dxa"/>
            <w:vMerge/>
          </w:tcPr>
          <w:p w14:paraId="2644FE74" w14:textId="77777777" w:rsid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1965" w:type="dxa"/>
          </w:tcPr>
          <w:p w14:paraId="3FE269B4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犯奸淫的惩罚</w:t>
            </w:r>
          </w:p>
        </w:tc>
        <w:tc>
          <w:tcPr>
            <w:tcW w:w="1965" w:type="dxa"/>
          </w:tcPr>
          <w:p w14:paraId="6BFDF5C1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i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i/>
                <w:lang w:eastAsia="zh-CN"/>
              </w:rPr>
              <w:t>已婚？</w:t>
            </w:r>
          </w:p>
        </w:tc>
        <w:tc>
          <w:tcPr>
            <w:tcW w:w="1928" w:type="dxa"/>
          </w:tcPr>
          <w:p w14:paraId="08C9E560" w14:textId="77777777" w:rsidR="00CD17CE" w:rsidRPr="00CD17CE" w:rsidRDefault="00CD17CE" w:rsidP="00905955">
            <w:pPr>
              <w:pStyle w:val="ListParagraph"/>
              <w:ind w:left="0"/>
              <w:rPr>
                <w:rFonts w:ascii="华文宋体" w:eastAsia="华文宋体" w:hAnsi="华文宋体" w:hint="eastAsia"/>
                <w:b/>
                <w:lang w:eastAsia="zh-CN"/>
              </w:rPr>
            </w:pPr>
            <w:r w:rsidRPr="00CD17CE">
              <w:rPr>
                <w:rFonts w:ascii="华文宋体" w:eastAsia="华文宋体" w:hAnsi="华文宋体" w:hint="eastAsia"/>
                <w:b/>
                <w:lang w:eastAsia="zh-CN"/>
              </w:rPr>
              <w:t>女人</w:t>
            </w:r>
          </w:p>
        </w:tc>
      </w:tr>
    </w:tbl>
    <w:p w14:paraId="4BDEB5EE" w14:textId="77777777" w:rsidR="00E95797" w:rsidRDefault="00E95797" w:rsidP="00E95797">
      <w:pPr>
        <w:pStyle w:val="ListParagraph"/>
        <w:numPr>
          <w:ilvl w:val="0"/>
          <w:numId w:val="1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在希腊世界当中，正经的妇女一般都是盘头或者戴某种外在装饰以表明她们是已婚的；松散头发一般代表着放荡不羁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8"/>
      </w:r>
      <w:r>
        <w:rPr>
          <w:rFonts w:ascii="华文宋体" w:eastAsia="华文宋体" w:hAnsi="华文宋体" w:hint="eastAsia"/>
          <w:lang w:eastAsia="zh-CN"/>
        </w:rPr>
        <w:t>。一些异教的女先知在参加膜拜仪式中也会把头发散开。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9"/>
      </w:r>
    </w:p>
    <w:p w14:paraId="39F65A95" w14:textId="77777777" w:rsidR="00E95797" w:rsidRDefault="00E95797" w:rsidP="00E95797">
      <w:pPr>
        <w:pStyle w:val="ListParagraph"/>
        <w:spacing w:after="0"/>
        <w:ind w:left="1070"/>
        <w:rPr>
          <w:rFonts w:ascii="华文宋体" w:eastAsia="华文宋体" w:hAnsi="华文宋体" w:hint="eastAsia"/>
          <w:lang w:eastAsia="zh-CN"/>
        </w:rPr>
      </w:pPr>
    </w:p>
    <w:p w14:paraId="3AFDC7EB" w14:textId="77777777" w:rsidR="00E95797" w:rsidRDefault="00E95797" w:rsidP="00E9579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什么是清楚的教导？</w:t>
      </w:r>
    </w:p>
    <w:p w14:paraId="34EB4848" w14:textId="4CE01AE3" w:rsidR="00E95797" w:rsidRDefault="00E95797" w:rsidP="00E95797">
      <w:pPr>
        <w:pStyle w:val="ListParagraph"/>
        <w:numPr>
          <w:ilvl w:val="0"/>
          <w:numId w:val="18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至少在这段经文里，女人是允许</w:t>
      </w:r>
      <w:r w:rsidR="00CD17CE">
        <w:rPr>
          <w:rFonts w:ascii="华文宋体" w:eastAsia="华文宋体" w:hAnsi="华文宋体" w:hint="eastAsia"/>
          <w:lang w:eastAsia="zh-CN"/>
        </w:rPr>
        <w:t>在崇拜中</w:t>
      </w:r>
      <w:r>
        <w:rPr>
          <w:rFonts w:ascii="华文宋体" w:eastAsia="华文宋体" w:hAnsi="华文宋体" w:hint="eastAsia"/>
          <w:lang w:eastAsia="zh-CN"/>
        </w:rPr>
        <w:t xml:space="preserve">讲道和祷告的。 </w:t>
      </w:r>
      <w:r w:rsidR="00CD17CE">
        <w:rPr>
          <w:rFonts w:ascii="华文宋体" w:eastAsia="华文宋体" w:hAnsi="华文宋体" w:hint="eastAsia"/>
          <w:lang w:eastAsia="zh-CN"/>
        </w:rPr>
        <w:t>保罗针对的问题不是女人</w:t>
      </w:r>
      <w:r>
        <w:rPr>
          <w:rFonts w:ascii="华文宋体" w:eastAsia="华文宋体" w:hAnsi="华文宋体" w:hint="eastAsia"/>
          <w:lang w:eastAsia="zh-CN"/>
        </w:rPr>
        <w:t>能不能讲道的问题，而是女人在崇拜中讲道和祷告时的装饰问题。</w:t>
      </w:r>
    </w:p>
    <w:p w14:paraId="4140B7B1" w14:textId="77777777" w:rsidR="00E95797" w:rsidRDefault="00E95797" w:rsidP="00E95797">
      <w:pPr>
        <w:pStyle w:val="ListParagraph"/>
        <w:numPr>
          <w:ilvl w:val="0"/>
          <w:numId w:val="18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大部分的解经学者都同意问题的核心是，女人的某些作法混淆男女的界线，在当时的社会中应该是视为不合适的行为。因此即使是女人和男人在基督里是不分彼此，男人和女人应该遵守一些传统的规矩。 </w:t>
      </w:r>
    </w:p>
    <w:p w14:paraId="6AD3CA5B" w14:textId="0C4F2090" w:rsidR="00E95797" w:rsidRDefault="00E95797" w:rsidP="00E95797">
      <w:pPr>
        <w:pStyle w:val="ListParagraph"/>
        <w:numPr>
          <w:ilvl w:val="0"/>
          <w:numId w:val="18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即使“头”可能有“权柄”的意思，保罗其实试图防止人把他的话语绝对化，因此在11：11-12的目的是</w:t>
      </w:r>
      <w:r w:rsidR="00CD17CE">
        <w:rPr>
          <w:rFonts w:ascii="华文宋体" w:eastAsia="华文宋体" w:hAnsi="华文宋体" w:hint="eastAsia"/>
          <w:lang w:eastAsia="zh-CN"/>
        </w:rPr>
        <w:t>要</w:t>
      </w:r>
      <w:r>
        <w:rPr>
          <w:rFonts w:ascii="华文宋体" w:eastAsia="华文宋体" w:hAnsi="华文宋体" w:hint="eastAsia"/>
          <w:lang w:eastAsia="zh-CN"/>
        </w:rPr>
        <w:t>平衡11：8-9。 男女应该是彼此依靠的。（其实这是保罗比较惯有的手法，以弗所书5：22-33 虽然保罗告诉妻子丈夫是妻子的头，传统的解释是丈夫对妻子有权柄，但是保</w:t>
      </w:r>
      <w:r w:rsidR="00CD17CE">
        <w:rPr>
          <w:rFonts w:ascii="华文宋体" w:eastAsia="华文宋体" w:hAnsi="华文宋体" w:hint="eastAsia"/>
          <w:lang w:eastAsia="zh-CN"/>
        </w:rPr>
        <w:t>罗对丈夫的教导“爱你们的妻子，正如基督爱教会，为他们舍己”不是告诉他们如何使用那个权柄，而是限制他们的</w:t>
      </w:r>
      <w:r>
        <w:rPr>
          <w:rFonts w:ascii="华文宋体" w:eastAsia="华文宋体" w:hAnsi="华文宋体" w:hint="eastAsia"/>
          <w:lang w:eastAsia="zh-CN"/>
        </w:rPr>
        <w:t>权柄。）</w:t>
      </w:r>
    </w:p>
    <w:p w14:paraId="5A06E2B8" w14:textId="77777777" w:rsidR="00E95797" w:rsidRDefault="00E95797" w:rsidP="00E95797">
      <w:pPr>
        <w:pStyle w:val="ListParagraph"/>
        <w:spacing w:after="0"/>
        <w:ind w:left="786"/>
        <w:rPr>
          <w:rFonts w:ascii="华文宋体" w:eastAsia="华文宋体" w:hAnsi="华文宋体" w:hint="eastAsia"/>
          <w:lang w:eastAsia="zh-CN"/>
        </w:rPr>
      </w:pPr>
    </w:p>
    <w:p w14:paraId="553488C8" w14:textId="77777777" w:rsidR="00E95797" w:rsidRDefault="00E95797" w:rsidP="00E9579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应用</w:t>
      </w:r>
    </w:p>
    <w:p w14:paraId="5B7035A0" w14:textId="4C9A6146" w:rsidR="00E95797" w:rsidRDefault="00CD17CE" w:rsidP="00E95797">
      <w:pPr>
        <w:pStyle w:val="ListParagraph"/>
        <w:numPr>
          <w:ilvl w:val="0"/>
          <w:numId w:val="19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女人在基督里有自由，凭着恩赐做神呼召她们的事情，但是应该对</w:t>
      </w:r>
      <w:r w:rsidR="00E95797">
        <w:rPr>
          <w:rFonts w:ascii="华文宋体" w:eastAsia="华文宋体" w:hAnsi="华文宋体" w:hint="eastAsia"/>
          <w:lang w:eastAsia="zh-CN"/>
        </w:rPr>
        <w:t>丈夫的需要</w:t>
      </w:r>
      <w:r>
        <w:rPr>
          <w:rFonts w:ascii="华文宋体" w:eastAsia="华文宋体" w:hAnsi="华文宋体" w:hint="eastAsia"/>
          <w:lang w:eastAsia="zh-CN"/>
        </w:rPr>
        <w:t>敏感</w:t>
      </w:r>
      <w:r w:rsidR="00E95797">
        <w:rPr>
          <w:rFonts w:ascii="华文宋体" w:eastAsia="华文宋体" w:hAnsi="华文宋体" w:hint="eastAsia"/>
          <w:lang w:eastAsia="zh-CN"/>
        </w:rPr>
        <w:t>， 也要考虑丈夫的体面。可能这与第八章的原则相同。自由应该以爱为基础。</w:t>
      </w:r>
    </w:p>
    <w:p w14:paraId="7AC61436" w14:textId="5992A6ED" w:rsidR="00E95797" w:rsidRDefault="00E95797" w:rsidP="00E95797">
      <w:pPr>
        <w:pStyle w:val="ListParagraph"/>
        <w:numPr>
          <w:ilvl w:val="0"/>
          <w:numId w:val="19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如果行使基督徒的自由引起敬拜中的混乱，我们要分辨什么是合适的，什么是不合适的；什么是有帮助敬拜，什么不是。</w:t>
      </w:r>
    </w:p>
    <w:p w14:paraId="1C025AB3" w14:textId="77777777" w:rsidR="00E95797" w:rsidRPr="00BC314E" w:rsidRDefault="00E95797" w:rsidP="00E95797">
      <w:pPr>
        <w:pStyle w:val="ListParagraph"/>
        <w:numPr>
          <w:ilvl w:val="0"/>
          <w:numId w:val="1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如果行使基督徒的自由引起传统（圣经教导）男女界线的混淆，我们要分辨什么是合适的，什么是不合适的。各人要尽起初神创造男女的时候赋予他们的本分。</w:t>
      </w:r>
    </w:p>
    <w:p w14:paraId="591102A7" w14:textId="77777777" w:rsidR="00E63CF5" w:rsidRDefault="00E63CF5" w:rsidP="00CD17CE">
      <w:pPr>
        <w:spacing w:after="0"/>
      </w:pPr>
    </w:p>
    <w:sectPr w:rsidR="00E63CF5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D937" w14:textId="77777777" w:rsidR="00D3774D" w:rsidRDefault="00D3774D" w:rsidP="00591DA1">
      <w:pPr>
        <w:spacing w:after="0"/>
      </w:pPr>
      <w:r>
        <w:separator/>
      </w:r>
    </w:p>
  </w:endnote>
  <w:endnote w:type="continuationSeparator" w:id="0">
    <w:p w14:paraId="152BCCE4" w14:textId="77777777" w:rsidR="00D3774D" w:rsidRDefault="00D3774D" w:rsidP="00591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95EF" w14:textId="77777777" w:rsidR="00D3774D" w:rsidRDefault="00D3774D" w:rsidP="00591DA1">
      <w:pPr>
        <w:spacing w:after="0"/>
      </w:pPr>
      <w:r>
        <w:separator/>
      </w:r>
    </w:p>
  </w:footnote>
  <w:footnote w:type="continuationSeparator" w:id="0">
    <w:p w14:paraId="0E6D9BB1" w14:textId="77777777" w:rsidR="00D3774D" w:rsidRDefault="00D3774D" w:rsidP="00591DA1">
      <w:pPr>
        <w:spacing w:after="0"/>
      </w:pPr>
      <w:r>
        <w:continuationSeparator/>
      </w:r>
    </w:p>
  </w:footnote>
  <w:footnote w:id="1">
    <w:p w14:paraId="215E3AE7" w14:textId="79F3A0A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</w:t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="00CD17CE" w:rsidRPr="00E619C7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, </w:t>
      </w:r>
      <w:r w:rsidR="00CD17CE" w:rsidRPr="00E619C7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="00CD17CE" w:rsidRPr="00E619C7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Pr="002A0F0F">
        <w:rPr>
          <w:rFonts w:ascii="Times New Roman" w:hAnsi="Times New Roman" w:cs="Times New Roman"/>
          <w:sz w:val="20"/>
          <w:szCs w:val="20"/>
        </w:rPr>
        <w:t xml:space="preserve">491. </w:t>
      </w:r>
    </w:p>
  </w:footnote>
  <w:footnote w:id="2">
    <w:p w14:paraId="37067A66" w14:textId="12B30C82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="00CD17CE" w:rsidRPr="00E619C7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, </w:t>
      </w:r>
      <w:r w:rsidR="00CD17CE" w:rsidRPr="00E619C7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="00CD17CE" w:rsidRPr="00E619C7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="00CD17CE" w:rsidRPr="00E619C7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496.</w:t>
      </w:r>
    </w:p>
  </w:footnote>
  <w:footnote w:id="3">
    <w:p w14:paraId="0E9263AA" w14:textId="7777777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</w:t>
      </w:r>
      <w:r w:rsidRPr="002A0F0F">
        <w:rPr>
          <w:rFonts w:ascii="Times New Roman" w:hAnsi="Times New Roman" w:cs="Times New Roman"/>
          <w:sz w:val="20"/>
          <w:szCs w:val="20"/>
        </w:rPr>
        <w:t>LXX,  “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七十士</w:t>
      </w:r>
      <w:r w:rsidRPr="002A0F0F">
        <w:rPr>
          <w:rFonts w:ascii="Times New Roman" w:eastAsia="宋体" w:hAnsi="Times New Roman" w:cs="Times New Roman"/>
          <w:sz w:val="20"/>
          <w:szCs w:val="20"/>
          <w:lang w:eastAsia="zh-CN"/>
        </w:rPr>
        <w:t>译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本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 xml:space="preserve">” (“Septuagint”), 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是新</w:t>
      </w:r>
      <w:r w:rsidRPr="002A0F0F">
        <w:rPr>
          <w:rFonts w:ascii="Times New Roman" w:eastAsia="宋体" w:hAnsi="Times New Roman" w:cs="Times New Roman"/>
          <w:sz w:val="20"/>
          <w:szCs w:val="20"/>
          <w:lang w:eastAsia="zh-CN"/>
        </w:rPr>
        <w:t>约时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代通行的希伯来圣</w:t>
      </w:r>
      <w:r w:rsidRPr="002A0F0F">
        <w:rPr>
          <w:rFonts w:ascii="Times New Roman" w:eastAsia="宋体" w:hAnsi="Times New Roman" w:cs="Times New Roman"/>
          <w:sz w:val="20"/>
          <w:szCs w:val="20"/>
          <w:lang w:eastAsia="zh-CN"/>
        </w:rPr>
        <w:t>经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的通用希腊</w:t>
      </w:r>
      <w:r w:rsidRPr="002A0F0F">
        <w:rPr>
          <w:rFonts w:ascii="Times New Roman" w:eastAsia="宋体" w:hAnsi="Times New Roman" w:cs="Times New Roman"/>
          <w:sz w:val="20"/>
          <w:szCs w:val="20"/>
          <w:lang w:eastAsia="zh-CN"/>
        </w:rPr>
        <w:t>语译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本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</w:footnote>
  <w:footnote w:id="4">
    <w:p w14:paraId="2106249C" w14:textId="7777777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Gordon D. Fee, </w:t>
      </w:r>
      <w:r w:rsidRPr="002A0F0F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2A0F0F">
        <w:rPr>
          <w:rFonts w:ascii="Times New Roman" w:hAnsi="Times New Roman" w:cs="Times New Roman"/>
          <w:sz w:val="20"/>
          <w:szCs w:val="20"/>
        </w:rPr>
        <w:t xml:space="preserve">, 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2A0F0F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2A0F0F">
        <w:rPr>
          <w:rFonts w:ascii="Times New Roman" w:hAnsi="Times New Roman" w:cs="Times New Roman"/>
          <w:sz w:val="20"/>
          <w:szCs w:val="20"/>
          <w:lang w:eastAsia="zh-CN"/>
        </w:rPr>
        <w:t>, 503.</w:t>
      </w:r>
    </w:p>
  </w:footnote>
  <w:footnote w:id="5">
    <w:p w14:paraId="03B742D3" w14:textId="7777777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Craig </w:t>
      </w:r>
      <w:proofErr w:type="spellStart"/>
      <w:r w:rsidRPr="002A0F0F">
        <w:rPr>
          <w:rFonts w:ascii="Times New Roman" w:hAnsi="Times New Roman" w:cs="Times New Roman"/>
          <w:sz w:val="20"/>
          <w:szCs w:val="20"/>
        </w:rPr>
        <w:t>Blomberg</w:t>
      </w:r>
      <w:proofErr w:type="spellEnd"/>
      <w:r w:rsidRPr="002A0F0F">
        <w:rPr>
          <w:rFonts w:ascii="Times New Roman" w:hAnsi="Times New Roman" w:cs="Times New Roman"/>
          <w:sz w:val="20"/>
          <w:szCs w:val="20"/>
        </w:rPr>
        <w:t xml:space="preserve">, </w:t>
      </w:r>
      <w:r w:rsidRPr="002A0F0F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2A0F0F">
        <w:rPr>
          <w:rFonts w:ascii="Times New Roman" w:hAnsi="Times New Roman" w:cs="Times New Roman"/>
          <w:sz w:val="20"/>
          <w:szCs w:val="20"/>
        </w:rPr>
        <w:t>, The NIV Application Commentary (Grand Rapids: Zondervan Publishing House, 1994), 208-209.</w:t>
      </w:r>
    </w:p>
  </w:footnote>
  <w:footnote w:id="6">
    <w:p w14:paraId="288B5D70" w14:textId="7777777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Craig </w:t>
      </w:r>
      <w:proofErr w:type="spellStart"/>
      <w:r w:rsidRPr="002A0F0F">
        <w:rPr>
          <w:rFonts w:ascii="Times New Roman" w:hAnsi="Times New Roman" w:cs="Times New Roman"/>
          <w:sz w:val="20"/>
          <w:szCs w:val="20"/>
        </w:rPr>
        <w:t>Blomberg</w:t>
      </w:r>
      <w:proofErr w:type="spellEnd"/>
      <w:r w:rsidRPr="002A0F0F">
        <w:rPr>
          <w:rFonts w:ascii="Times New Roman" w:hAnsi="Times New Roman" w:cs="Times New Roman"/>
          <w:sz w:val="20"/>
          <w:szCs w:val="20"/>
        </w:rPr>
        <w:t>, From Pentecost to Patmos (</w:t>
      </w:r>
      <w:proofErr w:type="spellStart"/>
      <w:r w:rsidRPr="002A0F0F">
        <w:rPr>
          <w:rFonts w:ascii="Times New Roman" w:hAnsi="Times New Roman" w:cs="Times New Roman"/>
          <w:sz w:val="20"/>
          <w:szCs w:val="20"/>
        </w:rPr>
        <w:t>Nashville</w:t>
      </w:r>
      <w:proofErr w:type="gramStart"/>
      <w:r w:rsidRPr="002A0F0F">
        <w:rPr>
          <w:rFonts w:ascii="Times New Roman" w:hAnsi="Times New Roman" w:cs="Times New Roman"/>
          <w:sz w:val="20"/>
          <w:szCs w:val="20"/>
        </w:rPr>
        <w:t>:B</w:t>
      </w:r>
      <w:proofErr w:type="gramEnd"/>
      <w:r w:rsidRPr="002A0F0F">
        <w:rPr>
          <w:rFonts w:ascii="Times New Roman" w:hAnsi="Times New Roman" w:cs="Times New Roman"/>
          <w:sz w:val="20"/>
          <w:szCs w:val="20"/>
        </w:rPr>
        <w:t>&amp;H</w:t>
      </w:r>
      <w:proofErr w:type="spellEnd"/>
      <w:r w:rsidRPr="002A0F0F">
        <w:rPr>
          <w:rFonts w:ascii="Times New Roman" w:hAnsi="Times New Roman" w:cs="Times New Roman"/>
          <w:sz w:val="20"/>
          <w:szCs w:val="20"/>
        </w:rPr>
        <w:t>, 2006), 185.</w:t>
      </w:r>
    </w:p>
  </w:footnote>
  <w:footnote w:id="7">
    <w:p w14:paraId="058C61CA" w14:textId="77777777" w:rsidR="00E95797" w:rsidRPr="002A0F0F" w:rsidRDefault="00E95797" w:rsidP="00E9579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2A0F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0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0F0F">
        <w:rPr>
          <w:rFonts w:ascii="Times New Roman" w:hAnsi="Times New Roman" w:cs="Times New Roman"/>
          <w:sz w:val="20"/>
          <w:szCs w:val="20"/>
          <w:lang w:eastAsia="zh-CN"/>
        </w:rPr>
        <w:t>Ibid, 185-186.</w:t>
      </w:r>
      <w:proofErr w:type="gramEnd"/>
      <w:r w:rsidRPr="002A0F0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</w:footnote>
  <w:footnote w:id="8">
    <w:p w14:paraId="75903C86" w14:textId="77777777" w:rsidR="00E95797" w:rsidRDefault="00E95797" w:rsidP="00E95797">
      <w:pPr>
        <w:pStyle w:val="FootnoteText"/>
        <w:rPr>
          <w:lang w:eastAsia="zh-CN"/>
        </w:rPr>
      </w:pPr>
      <w:r w:rsidRPr="002A0F0F">
        <w:rPr>
          <w:rStyle w:val="FootnoteReference"/>
          <w:rFonts w:ascii="Times New Roman" w:hAnsi="Times New Roman" w:cs="Times New Roman"/>
        </w:rPr>
        <w:footnoteRef/>
      </w:r>
      <w:r w:rsidRPr="002A0F0F">
        <w:rPr>
          <w:rFonts w:ascii="Times New Roman" w:hAnsi="Times New Roman" w:cs="Times New Roman"/>
        </w:rPr>
        <w:t xml:space="preserve"> </w:t>
      </w:r>
      <w:r w:rsidRPr="002A0F0F">
        <w:rPr>
          <w:rFonts w:ascii="Times New Roman" w:hAnsi="Times New Roman" w:cs="Times New Roman"/>
          <w:sz w:val="20"/>
          <w:szCs w:val="20"/>
        </w:rPr>
        <w:t xml:space="preserve">Leon Morris, </w:t>
      </w:r>
      <w:r w:rsidRPr="002A0F0F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2A0F0F">
        <w:rPr>
          <w:rFonts w:ascii="Times New Roman" w:hAnsi="Times New Roman" w:cs="Times New Roman"/>
          <w:sz w:val="20"/>
          <w:szCs w:val="20"/>
        </w:rPr>
        <w:t>, Tyndale New Testament Commentaries (Grand Rapids: Eerdmans, 1975), 151.</w:t>
      </w:r>
    </w:p>
  </w:footnote>
  <w:footnote w:id="9">
    <w:p w14:paraId="396EDF16" w14:textId="1267272C" w:rsidR="00E95797" w:rsidRDefault="00E95797" w:rsidP="00E95797">
      <w:pPr>
        <w:pStyle w:val="FootnoteText"/>
        <w:rPr>
          <w:lang w:eastAsia="zh-CN"/>
        </w:rPr>
      </w:pPr>
      <w:r w:rsidRPr="002A0F0F">
        <w:rPr>
          <w:rStyle w:val="FootnoteReference"/>
          <w:sz w:val="20"/>
          <w:szCs w:val="20"/>
        </w:rPr>
        <w:footnoteRef/>
      </w:r>
      <w:proofErr w:type="gramStart"/>
      <w:r w:rsidRPr="002A0F0F">
        <w:rPr>
          <w:rFonts w:ascii="Times New Roman" w:hAnsi="Times New Roman" w:cs="Times New Roman"/>
          <w:sz w:val="20"/>
          <w:szCs w:val="20"/>
          <w:lang w:eastAsia="zh-CN"/>
        </w:rPr>
        <w:t>Ibid, 185</w:t>
      </w:r>
      <w:r w:rsidR="00CD17CE">
        <w:rPr>
          <w:rFonts w:ascii="Times New Roman" w:hAnsi="Times New Roman" w:cs="Times New Roman"/>
          <w:sz w:val="20"/>
          <w:szCs w:val="20"/>
          <w:lang w:eastAsia="zh-C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C8F"/>
    <w:multiLevelType w:val="hybridMultilevel"/>
    <w:tmpl w:val="B8F4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7FD"/>
    <w:multiLevelType w:val="hybridMultilevel"/>
    <w:tmpl w:val="CB10C18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5131A6"/>
    <w:multiLevelType w:val="hybridMultilevel"/>
    <w:tmpl w:val="7A1AAF8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4708"/>
    <w:multiLevelType w:val="hybridMultilevel"/>
    <w:tmpl w:val="9E689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B33A8"/>
    <w:multiLevelType w:val="hybridMultilevel"/>
    <w:tmpl w:val="3B382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DB9"/>
    <w:multiLevelType w:val="hybridMultilevel"/>
    <w:tmpl w:val="9D0C51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7626BA"/>
    <w:multiLevelType w:val="hybridMultilevel"/>
    <w:tmpl w:val="E74A9C2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6226BE"/>
    <w:multiLevelType w:val="hybridMultilevel"/>
    <w:tmpl w:val="F7DC743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29D7073"/>
    <w:multiLevelType w:val="hybridMultilevel"/>
    <w:tmpl w:val="5B10C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851424"/>
    <w:multiLevelType w:val="hybridMultilevel"/>
    <w:tmpl w:val="CB9E0368"/>
    <w:lvl w:ilvl="0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488C6CB1"/>
    <w:multiLevelType w:val="hybridMultilevel"/>
    <w:tmpl w:val="202EE5C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9B3622"/>
    <w:multiLevelType w:val="hybridMultilevel"/>
    <w:tmpl w:val="E54AF3DE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06E4730"/>
    <w:multiLevelType w:val="hybridMultilevel"/>
    <w:tmpl w:val="60307FB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CB96CBB"/>
    <w:multiLevelType w:val="hybridMultilevel"/>
    <w:tmpl w:val="16E82D5A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64E1A1E"/>
    <w:multiLevelType w:val="hybridMultilevel"/>
    <w:tmpl w:val="5274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313"/>
    <w:multiLevelType w:val="hybridMultilevel"/>
    <w:tmpl w:val="9D0C51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12015E"/>
    <w:multiLevelType w:val="hybridMultilevel"/>
    <w:tmpl w:val="6306471C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4D73BAB"/>
    <w:multiLevelType w:val="hybridMultilevel"/>
    <w:tmpl w:val="B5D8CD72"/>
    <w:lvl w:ilvl="0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8">
    <w:nsid w:val="7C12011F"/>
    <w:multiLevelType w:val="hybridMultilevel"/>
    <w:tmpl w:val="6E9CCF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1"/>
    <w:rsid w:val="00591DA1"/>
    <w:rsid w:val="00613749"/>
    <w:rsid w:val="00CB0F2E"/>
    <w:rsid w:val="00CD17CE"/>
    <w:rsid w:val="00D3774D"/>
    <w:rsid w:val="00E63CF5"/>
    <w:rsid w:val="00E95797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E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1DA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91DA1"/>
  </w:style>
  <w:style w:type="character" w:styleId="FootnoteReference">
    <w:name w:val="footnote reference"/>
    <w:basedOn w:val="DefaultParagraphFont"/>
    <w:uiPriority w:val="99"/>
    <w:unhideWhenUsed/>
    <w:rsid w:val="00591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1D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7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1DA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91DA1"/>
  </w:style>
  <w:style w:type="character" w:styleId="FootnoteReference">
    <w:name w:val="footnote reference"/>
    <w:basedOn w:val="DefaultParagraphFont"/>
    <w:uiPriority w:val="99"/>
    <w:unhideWhenUsed/>
    <w:rsid w:val="00591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1D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7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4</cp:revision>
  <dcterms:created xsi:type="dcterms:W3CDTF">2013-06-22T23:29:00Z</dcterms:created>
  <dcterms:modified xsi:type="dcterms:W3CDTF">2013-07-07T03:18:00Z</dcterms:modified>
</cp:coreProperties>
</file>