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8" w:rsidRDefault="00090428" w:rsidP="00090428">
      <w:pPr>
        <w:spacing w:after="0"/>
        <w:jc w:val="center"/>
        <w:rPr>
          <w:rFonts w:ascii="华文宋体" w:eastAsia="华文宋体" w:hAnsi="华文宋体"/>
          <w:lang w:eastAsia="zh-CN"/>
        </w:rPr>
      </w:pPr>
      <w:r>
        <w:rPr>
          <w:rFonts w:ascii="华文宋体" w:eastAsia="华文宋体" w:hAnsi="华文宋体" w:hint="eastAsia"/>
          <w:lang w:eastAsia="zh-CN"/>
        </w:rPr>
        <w:t xml:space="preserve">第十课 主的晚餐 </w:t>
      </w:r>
    </w:p>
    <w:p w:rsidR="00090428" w:rsidRDefault="00090428" w:rsidP="00090428">
      <w:pPr>
        <w:spacing w:after="0"/>
        <w:rPr>
          <w:rFonts w:ascii="华文宋体" w:eastAsia="华文宋体" w:hAnsi="华文宋体"/>
          <w:lang w:eastAsia="zh-CN"/>
        </w:rPr>
      </w:pPr>
    </w:p>
    <w:p w:rsidR="00090428" w:rsidRDefault="00090428" w:rsidP="00090428">
      <w:pPr>
        <w:pStyle w:val="ListParagraph"/>
        <w:numPr>
          <w:ilvl w:val="0"/>
          <w:numId w:val="2"/>
        </w:numPr>
        <w:spacing w:after="0"/>
        <w:rPr>
          <w:rFonts w:ascii="华文宋体" w:eastAsia="华文宋体" w:hAnsi="华文宋体"/>
          <w:lang w:eastAsia="zh-CN"/>
        </w:rPr>
      </w:pPr>
      <w:r>
        <w:rPr>
          <w:rFonts w:ascii="华文宋体" w:eastAsia="华文宋体" w:hAnsi="华文宋体" w:hint="eastAsia"/>
          <w:lang w:eastAsia="zh-CN"/>
        </w:rPr>
        <w:t>历史背景</w:t>
      </w:r>
    </w:p>
    <w:p w:rsidR="00090428" w:rsidRDefault="00090428" w:rsidP="00090428">
      <w:pPr>
        <w:pStyle w:val="ListParagraph"/>
        <w:numPr>
          <w:ilvl w:val="0"/>
          <w:numId w:val="3"/>
        </w:numPr>
        <w:spacing w:after="0"/>
        <w:rPr>
          <w:rFonts w:ascii="华文宋体" w:eastAsia="华文宋体" w:hAnsi="华文宋体"/>
          <w:lang w:eastAsia="zh-CN"/>
        </w:rPr>
      </w:pPr>
      <w:r>
        <w:rPr>
          <w:rFonts w:ascii="华文宋体" w:eastAsia="华文宋体" w:hAnsi="华文宋体" w:hint="eastAsia"/>
          <w:lang w:eastAsia="zh-CN"/>
        </w:rPr>
        <w:t>在希腊-罗马社会，贫富等级分明；尤其在宗教崇拜庆典当中，富人与穷人的坐席和食物有明显分别是常见的。</w:t>
      </w:r>
      <w:r>
        <w:rPr>
          <w:rStyle w:val="FootnoteReference"/>
          <w:rFonts w:ascii="华文宋体" w:eastAsia="华文宋体" w:hAnsi="华文宋体"/>
          <w:lang w:eastAsia="zh-CN"/>
        </w:rPr>
        <w:footnoteReference w:id="1"/>
      </w:r>
    </w:p>
    <w:p w:rsidR="00090428" w:rsidRDefault="00090428" w:rsidP="00090428">
      <w:pPr>
        <w:pStyle w:val="ListParagraph"/>
        <w:numPr>
          <w:ilvl w:val="0"/>
          <w:numId w:val="3"/>
        </w:numPr>
        <w:spacing w:after="0"/>
        <w:rPr>
          <w:rFonts w:ascii="华文宋体" w:eastAsia="华文宋体" w:hAnsi="华文宋体"/>
          <w:lang w:eastAsia="zh-CN"/>
        </w:rPr>
      </w:pPr>
      <w:r>
        <w:rPr>
          <w:rFonts w:ascii="华文宋体" w:eastAsia="华文宋体" w:hAnsi="华文宋体" w:hint="eastAsia"/>
          <w:lang w:eastAsia="zh-CN"/>
        </w:rPr>
        <w:t xml:space="preserve">富裕的家庭（ “宿主家庭”，“庄主” </w:t>
      </w:r>
      <w:r>
        <w:rPr>
          <w:rFonts w:ascii="华文宋体" w:eastAsia="华文宋体" w:hAnsi="华文宋体"/>
          <w:lang w:eastAsia="zh-CN"/>
        </w:rPr>
        <w:t>patron</w:t>
      </w:r>
      <w:r>
        <w:rPr>
          <w:rFonts w:ascii="华文宋体" w:eastAsia="华文宋体" w:hAnsi="华文宋体" w:hint="eastAsia"/>
          <w:lang w:eastAsia="zh-CN"/>
        </w:rPr>
        <w:t>）一般都是那些支持福音事工和传道人的信徒， 也开放他们的家聚会 （当时基本都是家庭教会的模式）。这些富人的家里的饭厅最大的也只能容纳 9-20人</w:t>
      </w:r>
      <w:r>
        <w:rPr>
          <w:rStyle w:val="FootnoteReference"/>
          <w:rFonts w:ascii="华文宋体" w:eastAsia="华文宋体" w:hAnsi="华文宋体"/>
          <w:lang w:eastAsia="zh-CN"/>
        </w:rPr>
        <w:footnoteReference w:id="2"/>
      </w:r>
      <w:r>
        <w:rPr>
          <w:rFonts w:ascii="华文宋体" w:eastAsia="华文宋体" w:hAnsi="华文宋体" w:hint="eastAsia"/>
          <w:lang w:eastAsia="zh-CN"/>
        </w:rPr>
        <w:t>， 因此一般都是同一阶级的被邀请到饭厅吃饭， 而那些比较底层阶级的人就被安排在庭院门廊之类的地方用餐。</w:t>
      </w:r>
      <w:r>
        <w:rPr>
          <w:rStyle w:val="FootnoteReference"/>
          <w:rFonts w:ascii="华文宋体" w:eastAsia="华文宋体" w:hAnsi="华文宋体"/>
          <w:lang w:eastAsia="zh-CN"/>
        </w:rPr>
        <w:footnoteReference w:id="3"/>
      </w:r>
    </w:p>
    <w:p w:rsidR="00090428" w:rsidRDefault="00090428" w:rsidP="00090428">
      <w:pPr>
        <w:pStyle w:val="ListParagraph"/>
        <w:numPr>
          <w:ilvl w:val="0"/>
          <w:numId w:val="3"/>
        </w:numPr>
        <w:spacing w:after="0"/>
        <w:rPr>
          <w:rFonts w:ascii="华文宋体" w:eastAsia="华文宋体" w:hAnsi="华文宋体"/>
          <w:lang w:eastAsia="zh-CN"/>
        </w:rPr>
      </w:pPr>
      <w:r>
        <w:rPr>
          <w:rFonts w:ascii="华文宋体" w:eastAsia="华文宋体" w:hAnsi="华文宋体" w:hint="eastAsia"/>
          <w:lang w:eastAsia="zh-CN"/>
        </w:rPr>
        <w:t>中底产阶级的人必须等到工作结束以后才能参加周六或者周日傍晚的聚会 （罗马帝国没有假日）</w:t>
      </w:r>
      <w:r>
        <w:rPr>
          <w:rStyle w:val="FootnoteReference"/>
          <w:rFonts w:ascii="华文宋体" w:eastAsia="华文宋体" w:hAnsi="华文宋体"/>
          <w:lang w:eastAsia="zh-CN"/>
        </w:rPr>
        <w:footnoteReference w:id="4"/>
      </w:r>
      <w:r>
        <w:rPr>
          <w:rFonts w:ascii="华文宋体" w:eastAsia="华文宋体" w:hAnsi="华文宋体" w:hint="eastAsia"/>
          <w:lang w:eastAsia="zh-CN"/>
        </w:rPr>
        <w:t>。 当时的主餐真的是一顿晚餐，可能被称为 “爱宴。”</w:t>
      </w:r>
    </w:p>
    <w:p w:rsidR="00090428" w:rsidRDefault="00090428" w:rsidP="00090428">
      <w:pPr>
        <w:pStyle w:val="ListParagraph"/>
        <w:spacing w:after="0"/>
        <w:ind w:left="1211"/>
        <w:rPr>
          <w:rFonts w:ascii="华文宋体" w:eastAsia="华文宋体" w:hAnsi="华文宋体"/>
          <w:lang w:eastAsia="zh-CN"/>
        </w:rPr>
      </w:pPr>
    </w:p>
    <w:p w:rsidR="00090428" w:rsidRDefault="00090428" w:rsidP="00090428">
      <w:pPr>
        <w:pStyle w:val="ListParagraph"/>
        <w:numPr>
          <w:ilvl w:val="0"/>
          <w:numId w:val="2"/>
        </w:numPr>
        <w:spacing w:after="0"/>
        <w:rPr>
          <w:rFonts w:ascii="华文宋体" w:eastAsia="华文宋体" w:hAnsi="华文宋体"/>
          <w:lang w:eastAsia="zh-CN"/>
        </w:rPr>
      </w:pPr>
      <w:r>
        <w:rPr>
          <w:rFonts w:ascii="华文宋体" w:eastAsia="华文宋体" w:hAnsi="华文宋体" w:hint="eastAsia"/>
          <w:lang w:eastAsia="zh-CN"/>
        </w:rPr>
        <w:t>结构</w:t>
      </w:r>
      <w:r>
        <w:rPr>
          <w:rStyle w:val="FootnoteReference"/>
          <w:rFonts w:ascii="华文宋体" w:eastAsia="华文宋体" w:hAnsi="华文宋体"/>
          <w:lang w:eastAsia="zh-CN"/>
        </w:rPr>
        <w:footnoteReference w:id="5"/>
      </w:r>
    </w:p>
    <w:p w:rsidR="00090428" w:rsidRPr="00DA078F" w:rsidRDefault="00090428" w:rsidP="00090428">
      <w:pPr>
        <w:spacing w:after="0"/>
        <w:ind w:left="720"/>
        <w:rPr>
          <w:rFonts w:ascii="华文宋体" w:eastAsia="华文宋体" w:hAnsi="华文宋体"/>
          <w:lang w:eastAsia="zh-CN"/>
        </w:rPr>
      </w:pPr>
      <w:r>
        <w:rPr>
          <w:rFonts w:ascii="华文宋体" w:eastAsia="华文宋体" w:hAnsi="华文宋体"/>
          <w:lang w:eastAsia="zh-CN"/>
        </w:rPr>
        <w:t xml:space="preserve">a   </w:t>
      </w:r>
      <w:r w:rsidRPr="00DA078F">
        <w:rPr>
          <w:rFonts w:ascii="华文宋体" w:eastAsia="华文宋体" w:hAnsi="华文宋体"/>
          <w:lang w:eastAsia="zh-CN"/>
        </w:rPr>
        <w:t xml:space="preserve">17-22  </w:t>
      </w:r>
      <w:r w:rsidRPr="00DA078F">
        <w:rPr>
          <w:rFonts w:ascii="华文宋体" w:eastAsia="华文宋体" w:hAnsi="华文宋体" w:hint="eastAsia"/>
          <w:lang w:eastAsia="zh-CN"/>
        </w:rPr>
        <w:t>主餐的问题</w:t>
      </w:r>
    </w:p>
    <w:p w:rsidR="00090428" w:rsidRDefault="00090428" w:rsidP="00090428">
      <w:pPr>
        <w:pStyle w:val="ListParagraph"/>
        <w:spacing w:after="0"/>
        <w:ind w:left="1080"/>
        <w:rPr>
          <w:rFonts w:ascii="华文宋体" w:eastAsia="华文宋体" w:hAnsi="华文宋体"/>
          <w:lang w:eastAsia="zh-CN"/>
        </w:rPr>
      </w:pPr>
      <w:r>
        <w:rPr>
          <w:rFonts w:ascii="华文宋体" w:eastAsia="华文宋体" w:hAnsi="华文宋体"/>
          <w:lang w:eastAsia="zh-CN"/>
        </w:rPr>
        <w:t xml:space="preserve"> b    23-26 </w:t>
      </w:r>
      <w:r>
        <w:rPr>
          <w:rFonts w:ascii="华文宋体" w:eastAsia="华文宋体" w:hAnsi="华文宋体" w:hint="eastAsia"/>
          <w:lang w:eastAsia="zh-CN"/>
        </w:rPr>
        <w:t xml:space="preserve"> 主餐的真正意义</w:t>
      </w:r>
    </w:p>
    <w:p w:rsidR="00090428" w:rsidRDefault="00090428" w:rsidP="00090428">
      <w:pPr>
        <w:pStyle w:val="ListParagraph"/>
        <w:spacing w:after="0"/>
        <w:ind w:left="1080"/>
        <w:rPr>
          <w:rFonts w:ascii="华文宋体" w:eastAsia="华文宋体" w:hAnsi="华文宋体"/>
          <w:lang w:eastAsia="zh-CN"/>
        </w:rPr>
      </w:pPr>
      <w:r>
        <w:rPr>
          <w:rFonts w:ascii="华文宋体" w:eastAsia="华文宋体" w:hAnsi="华文宋体"/>
          <w:lang w:eastAsia="zh-CN"/>
        </w:rPr>
        <w:t xml:space="preserve"> b’27-32  </w:t>
      </w:r>
      <w:r>
        <w:rPr>
          <w:rFonts w:ascii="华文宋体" w:eastAsia="华文宋体" w:hAnsi="华文宋体" w:hint="eastAsia"/>
          <w:lang w:eastAsia="zh-CN"/>
        </w:rPr>
        <w:t>不按理吃主餐的严重性</w:t>
      </w:r>
    </w:p>
    <w:p w:rsidR="00090428" w:rsidRPr="004920CD" w:rsidRDefault="00090428" w:rsidP="00090428">
      <w:pPr>
        <w:spacing w:after="0"/>
        <w:rPr>
          <w:rFonts w:ascii="华文宋体" w:eastAsia="华文宋体" w:hAnsi="华文宋体"/>
          <w:lang w:eastAsia="zh-CN"/>
        </w:rPr>
      </w:pPr>
      <w:r>
        <w:rPr>
          <w:rFonts w:ascii="华文宋体" w:eastAsia="华文宋体" w:hAnsi="华文宋体" w:hint="eastAsia"/>
          <w:lang w:eastAsia="zh-CN"/>
        </w:rPr>
        <w:t xml:space="preserve">            </w:t>
      </w:r>
      <w:r>
        <w:rPr>
          <w:rFonts w:ascii="华文宋体" w:eastAsia="华文宋体" w:hAnsi="华文宋体"/>
          <w:lang w:eastAsia="zh-CN"/>
        </w:rPr>
        <w:t xml:space="preserve">a’33-34 </w:t>
      </w:r>
      <w:r>
        <w:rPr>
          <w:rFonts w:ascii="华文宋体" w:eastAsia="华文宋体" w:hAnsi="华文宋体" w:hint="eastAsia"/>
          <w:lang w:eastAsia="zh-CN"/>
        </w:rPr>
        <w:t>警告：回到问题的核心</w:t>
      </w:r>
      <w:r>
        <w:rPr>
          <w:rFonts w:ascii="华文宋体" w:eastAsia="华文宋体" w:hAnsi="华文宋体"/>
          <w:lang w:eastAsia="zh-CN"/>
        </w:rPr>
        <w:t xml:space="preserve"> </w:t>
      </w:r>
    </w:p>
    <w:p w:rsidR="00090428" w:rsidRDefault="00090428" w:rsidP="00090428">
      <w:pPr>
        <w:pStyle w:val="ListParagraph"/>
        <w:spacing w:after="0"/>
        <w:ind w:left="1080"/>
        <w:rPr>
          <w:rFonts w:ascii="华文宋体" w:eastAsia="华文宋体" w:hAnsi="华文宋体"/>
          <w:lang w:eastAsia="zh-CN"/>
        </w:rPr>
      </w:pPr>
    </w:p>
    <w:p w:rsidR="00090428" w:rsidRDefault="00090428" w:rsidP="00090428">
      <w:pPr>
        <w:pStyle w:val="ListParagraph"/>
        <w:numPr>
          <w:ilvl w:val="0"/>
          <w:numId w:val="2"/>
        </w:numPr>
        <w:spacing w:after="0"/>
        <w:rPr>
          <w:rFonts w:ascii="华文宋体" w:eastAsia="华文宋体" w:hAnsi="华文宋体"/>
          <w:lang w:eastAsia="zh-CN"/>
        </w:rPr>
      </w:pPr>
      <w:r>
        <w:rPr>
          <w:rFonts w:ascii="华文宋体" w:eastAsia="华文宋体" w:hAnsi="华文宋体" w:hint="eastAsia"/>
          <w:lang w:eastAsia="zh-CN"/>
        </w:rPr>
        <w:t>解释经文</w:t>
      </w:r>
    </w:p>
    <w:p w:rsidR="00090428" w:rsidRDefault="00090428" w:rsidP="00090428">
      <w:pPr>
        <w:pStyle w:val="ListParagraph"/>
        <w:numPr>
          <w:ilvl w:val="0"/>
          <w:numId w:val="4"/>
        </w:numPr>
        <w:spacing w:after="0"/>
        <w:rPr>
          <w:rFonts w:ascii="华文宋体" w:eastAsia="华文宋体" w:hAnsi="华文宋体"/>
          <w:lang w:eastAsia="zh-CN"/>
        </w:rPr>
      </w:pPr>
      <w:proofErr w:type="gramStart"/>
      <w:r>
        <w:rPr>
          <w:rFonts w:ascii="华文宋体" w:eastAsia="华文宋体" w:hAnsi="华文宋体"/>
          <w:lang w:eastAsia="zh-CN"/>
        </w:rPr>
        <w:t>vv</w:t>
      </w:r>
      <w:proofErr w:type="gramEnd"/>
      <w:r>
        <w:rPr>
          <w:rFonts w:ascii="华文宋体" w:eastAsia="华文宋体" w:hAnsi="华文宋体"/>
          <w:lang w:eastAsia="zh-CN"/>
        </w:rPr>
        <w:t xml:space="preserve">. 17-22 </w:t>
      </w:r>
      <w:r>
        <w:rPr>
          <w:rFonts w:ascii="华文宋体" w:eastAsia="华文宋体" w:hAnsi="华文宋体" w:hint="eastAsia"/>
          <w:lang w:eastAsia="zh-CN"/>
        </w:rPr>
        <w:t>哥林多教会吃主餐的问题</w:t>
      </w:r>
    </w:p>
    <w:p w:rsidR="00090428" w:rsidRDefault="00090428" w:rsidP="00090428">
      <w:pPr>
        <w:pStyle w:val="ListParagraph"/>
        <w:numPr>
          <w:ilvl w:val="0"/>
          <w:numId w:val="5"/>
        </w:numPr>
        <w:spacing w:after="0"/>
        <w:rPr>
          <w:rFonts w:ascii="华文宋体" w:eastAsia="华文宋体" w:hAnsi="华文宋体"/>
          <w:lang w:eastAsia="zh-CN"/>
        </w:rPr>
      </w:pPr>
      <w:r>
        <w:rPr>
          <w:rFonts w:ascii="华文宋体" w:eastAsia="华文宋体" w:hAnsi="华文宋体" w:hint="eastAsia"/>
          <w:lang w:eastAsia="zh-CN"/>
        </w:rPr>
        <w:t xml:space="preserve">保罗的态度？ </w:t>
      </w:r>
    </w:p>
    <w:p w:rsidR="00090428" w:rsidRDefault="00090428" w:rsidP="00090428">
      <w:pPr>
        <w:pStyle w:val="ListParagraph"/>
        <w:numPr>
          <w:ilvl w:val="0"/>
          <w:numId w:val="5"/>
        </w:numPr>
        <w:spacing w:after="0"/>
        <w:rPr>
          <w:rFonts w:ascii="华文宋体" w:eastAsia="华文宋体" w:hAnsi="华文宋体"/>
          <w:lang w:eastAsia="zh-CN"/>
        </w:rPr>
      </w:pPr>
      <w:r>
        <w:rPr>
          <w:rFonts w:ascii="华文宋体" w:eastAsia="华文宋体" w:hAnsi="华文宋体" w:hint="eastAsia"/>
          <w:lang w:eastAsia="zh-CN"/>
        </w:rPr>
        <w:t>问题是什么？</w:t>
      </w:r>
    </w:p>
    <w:p w:rsidR="00090428" w:rsidRDefault="00090428" w:rsidP="00090428">
      <w:pPr>
        <w:pStyle w:val="ListParagraph"/>
        <w:numPr>
          <w:ilvl w:val="0"/>
          <w:numId w:val="1"/>
        </w:numPr>
        <w:spacing w:after="0"/>
        <w:rPr>
          <w:rFonts w:ascii="华文宋体" w:eastAsia="华文宋体" w:hAnsi="华文宋体"/>
          <w:lang w:eastAsia="zh-CN"/>
        </w:rPr>
      </w:pPr>
      <w:r>
        <w:rPr>
          <w:rFonts w:ascii="华文宋体" w:eastAsia="华文宋体" w:hAnsi="华文宋体" w:hint="eastAsia"/>
          <w:lang w:eastAsia="zh-CN"/>
        </w:rPr>
        <w:t>聚会的时候彼此分门别类 （与1：10描述的问题不同）</w:t>
      </w:r>
    </w:p>
    <w:tbl>
      <w:tblPr>
        <w:tblStyle w:val="TableGrid"/>
        <w:tblW w:w="0" w:type="auto"/>
        <w:tblInd w:w="1920" w:type="dxa"/>
        <w:tblLook w:val="04A0" w:firstRow="1" w:lastRow="0" w:firstColumn="1" w:lastColumn="0" w:noHBand="0" w:noVBand="1"/>
      </w:tblPr>
      <w:tblGrid>
        <w:gridCol w:w="3468"/>
        <w:gridCol w:w="3468"/>
      </w:tblGrid>
      <w:tr w:rsidR="00090428" w:rsidTr="00905955">
        <w:tc>
          <w:tcPr>
            <w:tcW w:w="4428" w:type="dxa"/>
          </w:tcPr>
          <w:p w:rsidR="00090428" w:rsidRDefault="00090428" w:rsidP="00905955">
            <w:pPr>
              <w:pStyle w:val="ListParagraph"/>
              <w:ind w:left="0"/>
              <w:jc w:val="center"/>
              <w:rPr>
                <w:rFonts w:ascii="华文宋体" w:eastAsia="华文宋体" w:hAnsi="华文宋体"/>
                <w:lang w:eastAsia="zh-CN"/>
              </w:rPr>
            </w:pPr>
            <w:r>
              <w:rPr>
                <w:rFonts w:ascii="华文宋体" w:eastAsia="华文宋体" w:hAnsi="华文宋体" w:hint="eastAsia"/>
                <w:lang w:eastAsia="zh-CN"/>
              </w:rPr>
              <w:t>有的</w:t>
            </w:r>
          </w:p>
        </w:tc>
        <w:tc>
          <w:tcPr>
            <w:tcW w:w="4428" w:type="dxa"/>
          </w:tcPr>
          <w:p w:rsidR="00090428" w:rsidRDefault="00090428" w:rsidP="00905955">
            <w:pPr>
              <w:pStyle w:val="ListParagraph"/>
              <w:ind w:left="0"/>
              <w:jc w:val="center"/>
              <w:rPr>
                <w:rFonts w:ascii="华文宋体" w:eastAsia="华文宋体" w:hAnsi="华文宋体"/>
                <w:lang w:eastAsia="zh-CN"/>
              </w:rPr>
            </w:pPr>
            <w:r>
              <w:rPr>
                <w:rFonts w:ascii="华文宋体" w:eastAsia="华文宋体" w:hAnsi="华文宋体" w:hint="eastAsia"/>
                <w:lang w:eastAsia="zh-CN"/>
              </w:rPr>
              <w:t>没有的</w:t>
            </w:r>
          </w:p>
        </w:tc>
      </w:tr>
      <w:tr w:rsidR="00090428" w:rsidTr="00905955">
        <w:tc>
          <w:tcPr>
            <w:tcW w:w="4428" w:type="dxa"/>
          </w:tcPr>
          <w:p w:rsidR="00090428" w:rsidRDefault="00090428" w:rsidP="00905955">
            <w:pPr>
              <w:pStyle w:val="ListParagraph"/>
              <w:ind w:left="0"/>
              <w:rPr>
                <w:rFonts w:ascii="华文宋体" w:eastAsia="华文宋体" w:hAnsi="华文宋体"/>
                <w:lang w:eastAsia="zh-CN"/>
              </w:rPr>
            </w:pPr>
            <w:r>
              <w:rPr>
                <w:rFonts w:ascii="华文宋体" w:eastAsia="华文宋体" w:hAnsi="华文宋体" w:hint="eastAsia"/>
                <w:lang w:eastAsia="zh-CN"/>
              </w:rPr>
              <w:t>（</w:t>
            </w:r>
            <w:r>
              <w:rPr>
                <w:rFonts w:ascii="华文宋体" w:eastAsia="华文宋体" w:hAnsi="华文宋体"/>
                <w:lang w:eastAsia="zh-CN"/>
              </w:rPr>
              <w:t>v.21</w:t>
            </w:r>
            <w:r>
              <w:rPr>
                <w:rFonts w:ascii="华文宋体" w:eastAsia="华文宋体" w:hAnsi="华文宋体" w:hint="eastAsia"/>
                <w:lang w:eastAsia="zh-CN"/>
              </w:rPr>
              <w:t>）</w:t>
            </w:r>
          </w:p>
        </w:tc>
        <w:tc>
          <w:tcPr>
            <w:tcW w:w="4428" w:type="dxa"/>
          </w:tcPr>
          <w:p w:rsidR="00090428" w:rsidRDefault="00090428" w:rsidP="00905955">
            <w:pPr>
              <w:pStyle w:val="ListParagraph"/>
              <w:ind w:left="0"/>
              <w:rPr>
                <w:rFonts w:ascii="华文宋体" w:eastAsia="华文宋体" w:hAnsi="华文宋体"/>
                <w:lang w:eastAsia="zh-CN"/>
              </w:rPr>
            </w:pPr>
          </w:p>
        </w:tc>
      </w:tr>
      <w:tr w:rsidR="00090428" w:rsidTr="00905955">
        <w:tc>
          <w:tcPr>
            <w:tcW w:w="4428" w:type="dxa"/>
          </w:tcPr>
          <w:p w:rsidR="00090428" w:rsidRDefault="00090428" w:rsidP="00905955">
            <w:pPr>
              <w:pStyle w:val="ListParagraph"/>
              <w:ind w:left="0"/>
              <w:rPr>
                <w:rFonts w:ascii="华文宋体" w:eastAsia="华文宋体" w:hAnsi="华文宋体"/>
                <w:lang w:eastAsia="zh-CN"/>
              </w:rPr>
            </w:pPr>
            <w:r>
              <w:rPr>
                <w:rFonts w:ascii="华文宋体" w:eastAsia="华文宋体" w:hAnsi="华文宋体" w:hint="eastAsia"/>
                <w:lang w:eastAsia="zh-CN"/>
              </w:rPr>
              <w:t>（</w:t>
            </w:r>
            <w:r>
              <w:rPr>
                <w:rFonts w:ascii="华文宋体" w:eastAsia="华文宋体" w:hAnsi="华文宋体"/>
                <w:lang w:eastAsia="zh-CN"/>
              </w:rPr>
              <w:t>v.21</w:t>
            </w:r>
            <w:r>
              <w:rPr>
                <w:rFonts w:ascii="华文宋体" w:eastAsia="华文宋体" w:hAnsi="华文宋体" w:hint="eastAsia"/>
                <w:lang w:eastAsia="zh-CN"/>
              </w:rPr>
              <w:t>）</w:t>
            </w:r>
          </w:p>
        </w:tc>
        <w:tc>
          <w:tcPr>
            <w:tcW w:w="4428" w:type="dxa"/>
          </w:tcPr>
          <w:p w:rsidR="00090428" w:rsidRDefault="00090428" w:rsidP="00905955">
            <w:pPr>
              <w:pStyle w:val="ListParagraph"/>
              <w:ind w:left="0"/>
              <w:rPr>
                <w:rFonts w:ascii="华文宋体" w:eastAsia="华文宋体" w:hAnsi="华文宋体"/>
                <w:lang w:eastAsia="zh-CN"/>
              </w:rPr>
            </w:pPr>
            <w:r>
              <w:rPr>
                <w:rFonts w:ascii="华文宋体" w:eastAsia="华文宋体" w:hAnsi="华文宋体" w:hint="eastAsia"/>
                <w:lang w:eastAsia="zh-CN"/>
              </w:rPr>
              <w:t>（</w:t>
            </w:r>
            <w:r>
              <w:rPr>
                <w:rFonts w:ascii="华文宋体" w:eastAsia="华文宋体" w:hAnsi="华文宋体"/>
                <w:lang w:eastAsia="zh-CN"/>
              </w:rPr>
              <w:t>v.21</w:t>
            </w:r>
            <w:r>
              <w:rPr>
                <w:rFonts w:ascii="华文宋体" w:eastAsia="华文宋体" w:hAnsi="华文宋体" w:hint="eastAsia"/>
                <w:lang w:eastAsia="zh-CN"/>
              </w:rPr>
              <w:t>）</w:t>
            </w:r>
          </w:p>
        </w:tc>
      </w:tr>
      <w:tr w:rsidR="00090428" w:rsidTr="00905955">
        <w:tc>
          <w:tcPr>
            <w:tcW w:w="4428" w:type="dxa"/>
          </w:tcPr>
          <w:p w:rsidR="00090428" w:rsidRDefault="00090428" w:rsidP="00905955">
            <w:pPr>
              <w:pStyle w:val="ListParagraph"/>
              <w:ind w:left="0"/>
              <w:rPr>
                <w:rFonts w:ascii="华文宋体" w:eastAsia="华文宋体" w:hAnsi="华文宋体"/>
                <w:lang w:eastAsia="zh-CN"/>
              </w:rPr>
            </w:pPr>
            <w:r>
              <w:rPr>
                <w:rFonts w:ascii="华文宋体" w:eastAsia="华文宋体" w:hAnsi="华文宋体" w:hint="eastAsia"/>
                <w:lang w:eastAsia="zh-CN"/>
              </w:rPr>
              <w:t>（</w:t>
            </w:r>
            <w:r>
              <w:rPr>
                <w:rFonts w:ascii="华文宋体" w:eastAsia="华文宋体" w:hAnsi="华文宋体"/>
                <w:lang w:eastAsia="zh-CN"/>
              </w:rPr>
              <w:t>v.22</w:t>
            </w:r>
            <w:r>
              <w:rPr>
                <w:rFonts w:ascii="华文宋体" w:eastAsia="华文宋体" w:hAnsi="华文宋体" w:hint="eastAsia"/>
                <w:lang w:eastAsia="zh-CN"/>
              </w:rPr>
              <w:t>）</w:t>
            </w:r>
          </w:p>
        </w:tc>
        <w:tc>
          <w:tcPr>
            <w:tcW w:w="4428" w:type="dxa"/>
          </w:tcPr>
          <w:p w:rsidR="00090428" w:rsidRDefault="00090428" w:rsidP="00905955">
            <w:pPr>
              <w:pStyle w:val="ListParagraph"/>
              <w:ind w:left="0"/>
              <w:rPr>
                <w:rFonts w:ascii="华文宋体" w:eastAsia="华文宋体" w:hAnsi="华文宋体"/>
                <w:lang w:eastAsia="zh-CN"/>
              </w:rPr>
            </w:pPr>
          </w:p>
        </w:tc>
      </w:tr>
      <w:tr w:rsidR="00090428" w:rsidTr="00905955">
        <w:tc>
          <w:tcPr>
            <w:tcW w:w="4428" w:type="dxa"/>
          </w:tcPr>
          <w:p w:rsidR="00090428" w:rsidRDefault="00090428" w:rsidP="00905955">
            <w:pPr>
              <w:pStyle w:val="ListParagraph"/>
              <w:ind w:left="0"/>
              <w:rPr>
                <w:rFonts w:ascii="华文宋体" w:eastAsia="华文宋体" w:hAnsi="华文宋体"/>
                <w:lang w:eastAsia="zh-CN"/>
              </w:rPr>
            </w:pPr>
            <w:r>
              <w:rPr>
                <w:rFonts w:ascii="华文宋体" w:eastAsia="华文宋体" w:hAnsi="华文宋体" w:hint="eastAsia"/>
                <w:lang w:eastAsia="zh-CN"/>
              </w:rPr>
              <w:t>（</w:t>
            </w:r>
            <w:r>
              <w:rPr>
                <w:rFonts w:ascii="华文宋体" w:eastAsia="华文宋体" w:hAnsi="华文宋体"/>
                <w:lang w:eastAsia="zh-CN"/>
              </w:rPr>
              <w:t>v.22</w:t>
            </w:r>
            <w:r>
              <w:rPr>
                <w:rFonts w:ascii="华文宋体" w:eastAsia="华文宋体" w:hAnsi="华文宋体" w:hint="eastAsia"/>
                <w:lang w:eastAsia="zh-CN"/>
              </w:rPr>
              <w:t>）</w:t>
            </w:r>
          </w:p>
        </w:tc>
        <w:tc>
          <w:tcPr>
            <w:tcW w:w="4428" w:type="dxa"/>
          </w:tcPr>
          <w:p w:rsidR="00090428" w:rsidRDefault="00090428" w:rsidP="00905955">
            <w:pPr>
              <w:pStyle w:val="ListParagraph"/>
              <w:ind w:left="0"/>
              <w:rPr>
                <w:rFonts w:ascii="华文宋体" w:eastAsia="华文宋体" w:hAnsi="华文宋体"/>
                <w:lang w:eastAsia="zh-CN"/>
              </w:rPr>
            </w:pPr>
          </w:p>
        </w:tc>
      </w:tr>
    </w:tbl>
    <w:p w:rsidR="00090428" w:rsidRDefault="00090428" w:rsidP="00090428">
      <w:pPr>
        <w:pStyle w:val="ListParagraph"/>
        <w:spacing w:after="0"/>
        <w:ind w:left="1920"/>
        <w:rPr>
          <w:rFonts w:ascii="华文宋体" w:eastAsia="华文宋体" w:hAnsi="华文宋体"/>
          <w:lang w:eastAsia="zh-CN"/>
        </w:rPr>
      </w:pPr>
    </w:p>
    <w:p w:rsidR="00090428" w:rsidRDefault="00090428" w:rsidP="00090428">
      <w:pPr>
        <w:pStyle w:val="ListParagraph"/>
        <w:numPr>
          <w:ilvl w:val="0"/>
          <w:numId w:val="4"/>
        </w:numPr>
        <w:spacing w:after="0"/>
        <w:rPr>
          <w:rFonts w:ascii="华文宋体" w:eastAsia="华文宋体" w:hAnsi="华文宋体"/>
          <w:lang w:eastAsia="zh-CN"/>
        </w:rPr>
      </w:pPr>
      <w:proofErr w:type="gramStart"/>
      <w:r>
        <w:rPr>
          <w:rFonts w:ascii="华文宋体" w:eastAsia="华文宋体" w:hAnsi="华文宋体"/>
          <w:lang w:eastAsia="zh-CN"/>
        </w:rPr>
        <w:t>vv</w:t>
      </w:r>
      <w:proofErr w:type="gramEnd"/>
      <w:r>
        <w:rPr>
          <w:rFonts w:ascii="华文宋体" w:eastAsia="华文宋体" w:hAnsi="华文宋体"/>
          <w:lang w:eastAsia="zh-CN"/>
        </w:rPr>
        <w:t xml:space="preserve">. 23-26 </w:t>
      </w:r>
      <w:r>
        <w:rPr>
          <w:rFonts w:ascii="华文宋体" w:eastAsia="华文宋体" w:hAnsi="华文宋体" w:hint="eastAsia"/>
          <w:lang w:eastAsia="zh-CN"/>
        </w:rPr>
        <w:t>耶稣设立主餐的真正意义</w:t>
      </w:r>
    </w:p>
    <w:p w:rsidR="00090428" w:rsidRDefault="00090428" w:rsidP="00090428">
      <w:pPr>
        <w:pStyle w:val="ListParagraph"/>
        <w:numPr>
          <w:ilvl w:val="0"/>
          <w:numId w:val="6"/>
        </w:numPr>
        <w:spacing w:after="0"/>
        <w:rPr>
          <w:rFonts w:ascii="华文宋体" w:eastAsia="华文宋体" w:hAnsi="华文宋体"/>
          <w:lang w:eastAsia="zh-CN"/>
        </w:rPr>
      </w:pPr>
      <w:r>
        <w:rPr>
          <w:rFonts w:ascii="华文宋体" w:eastAsia="华文宋体" w:hAnsi="华文宋体" w:hint="eastAsia"/>
          <w:lang w:eastAsia="zh-CN"/>
        </w:rPr>
        <w:lastRenderedPageBreak/>
        <w:t>（</w:t>
      </w:r>
      <w:r>
        <w:rPr>
          <w:rFonts w:ascii="华文宋体" w:eastAsia="华文宋体" w:hAnsi="华文宋体"/>
          <w:lang w:eastAsia="zh-CN"/>
        </w:rPr>
        <w:t>vv.24-26</w:t>
      </w:r>
      <w:r>
        <w:rPr>
          <w:rFonts w:ascii="华文宋体" w:eastAsia="华文宋体" w:hAnsi="华文宋体" w:hint="eastAsia"/>
          <w:lang w:eastAsia="zh-CN"/>
        </w:rPr>
        <w:t>）</w:t>
      </w:r>
    </w:p>
    <w:p w:rsidR="00090428" w:rsidRDefault="00090428" w:rsidP="00090428">
      <w:pPr>
        <w:pStyle w:val="ListParagraph"/>
        <w:numPr>
          <w:ilvl w:val="0"/>
          <w:numId w:val="6"/>
        </w:numPr>
        <w:spacing w:after="0"/>
        <w:rPr>
          <w:rFonts w:ascii="华文宋体" w:eastAsia="华文宋体" w:hAnsi="华文宋体"/>
          <w:lang w:eastAsia="zh-CN"/>
        </w:rPr>
      </w:pPr>
      <w:r>
        <w:rPr>
          <w:rFonts w:ascii="华文宋体" w:eastAsia="华文宋体" w:hAnsi="华文宋体" w:hint="eastAsia"/>
          <w:lang w:eastAsia="zh-CN"/>
        </w:rPr>
        <w:t>主的死表明：</w:t>
      </w:r>
      <w:r>
        <w:rPr>
          <w:rFonts w:ascii="华文宋体" w:eastAsia="华文宋体" w:hAnsi="华文宋体" w:hint="eastAsia"/>
          <w:lang w:eastAsia="zh-CN"/>
        </w:rPr>
        <w:t xml:space="preserve"> </w:t>
      </w:r>
    </w:p>
    <w:p w:rsidR="00090428" w:rsidRDefault="00090428" w:rsidP="00090428">
      <w:pPr>
        <w:spacing w:after="0"/>
        <w:rPr>
          <w:rFonts w:ascii="华文宋体" w:eastAsia="华文宋体" w:hAnsi="华文宋体"/>
          <w:lang w:eastAsia="zh-CN"/>
        </w:rPr>
      </w:pPr>
    </w:p>
    <w:p w:rsidR="00090428" w:rsidRDefault="00090428" w:rsidP="00090428">
      <w:pPr>
        <w:pStyle w:val="ListParagraph"/>
        <w:numPr>
          <w:ilvl w:val="0"/>
          <w:numId w:val="4"/>
        </w:numPr>
        <w:spacing w:after="0"/>
        <w:rPr>
          <w:rFonts w:ascii="华文宋体" w:eastAsia="华文宋体" w:hAnsi="华文宋体"/>
          <w:lang w:eastAsia="zh-CN"/>
        </w:rPr>
      </w:pPr>
      <w:proofErr w:type="gramStart"/>
      <w:r>
        <w:rPr>
          <w:rFonts w:ascii="华文宋体" w:eastAsia="华文宋体" w:hAnsi="华文宋体"/>
          <w:lang w:eastAsia="zh-CN"/>
        </w:rPr>
        <w:t>vv</w:t>
      </w:r>
      <w:proofErr w:type="gramEnd"/>
      <w:r>
        <w:rPr>
          <w:rFonts w:ascii="华文宋体" w:eastAsia="华文宋体" w:hAnsi="华文宋体"/>
          <w:lang w:eastAsia="zh-CN"/>
        </w:rPr>
        <w:t>. 27-32</w:t>
      </w:r>
      <w:r>
        <w:rPr>
          <w:rFonts w:ascii="华文宋体" w:eastAsia="华文宋体" w:hAnsi="华文宋体" w:hint="eastAsia"/>
          <w:lang w:eastAsia="zh-CN"/>
        </w:rPr>
        <w:t xml:space="preserve">  主的即时审判</w:t>
      </w:r>
    </w:p>
    <w:p w:rsidR="00090428" w:rsidRDefault="00090428" w:rsidP="00090428">
      <w:pPr>
        <w:pStyle w:val="ListParagraph"/>
        <w:numPr>
          <w:ilvl w:val="0"/>
          <w:numId w:val="7"/>
        </w:numPr>
        <w:spacing w:after="0"/>
        <w:rPr>
          <w:rFonts w:ascii="华文宋体" w:eastAsia="华文宋体" w:hAnsi="华文宋体"/>
          <w:lang w:eastAsia="zh-CN"/>
        </w:rPr>
      </w:pPr>
      <w:r>
        <w:rPr>
          <w:rFonts w:ascii="华文宋体" w:eastAsia="华文宋体" w:hAnsi="华文宋体" w:hint="eastAsia"/>
          <w:lang w:eastAsia="zh-CN"/>
        </w:rPr>
        <w:t>联系上下文，“不按理吃主餐”的“不按理”指的是哥林多教会聚会的时候“各人先吃自己的饭，甚至这个饥饿，那个酒醉</w:t>
      </w:r>
      <w:r>
        <w:rPr>
          <w:rFonts w:ascii="华文宋体" w:eastAsia="华文宋体" w:hAnsi="华文宋体"/>
          <w:lang w:eastAsia="zh-CN"/>
        </w:rPr>
        <w:t>…</w:t>
      </w:r>
      <w:r>
        <w:rPr>
          <w:rFonts w:ascii="华文宋体" w:eastAsia="华文宋体" w:hAnsi="华文宋体" w:hint="eastAsia"/>
          <w:lang w:eastAsia="zh-CN"/>
        </w:rPr>
        <w:t>藐视神的教会，叫那没有的羞愧”（</w:t>
      </w:r>
      <w:r>
        <w:rPr>
          <w:rFonts w:ascii="华文宋体" w:eastAsia="华文宋体" w:hAnsi="华文宋体"/>
          <w:lang w:eastAsia="zh-CN"/>
        </w:rPr>
        <w:t>vv.19-22</w:t>
      </w:r>
      <w:r>
        <w:rPr>
          <w:rFonts w:ascii="华文宋体" w:eastAsia="华文宋体" w:hAnsi="华文宋体" w:hint="eastAsia"/>
          <w:lang w:eastAsia="zh-CN"/>
        </w:rPr>
        <w:t>）</w:t>
      </w:r>
    </w:p>
    <w:p w:rsidR="00090428" w:rsidRDefault="00090428" w:rsidP="00090428">
      <w:pPr>
        <w:pStyle w:val="ListParagraph"/>
        <w:numPr>
          <w:ilvl w:val="0"/>
          <w:numId w:val="7"/>
        </w:numPr>
        <w:spacing w:after="0"/>
        <w:rPr>
          <w:rFonts w:ascii="华文宋体" w:eastAsia="华文宋体" w:hAnsi="华文宋体"/>
          <w:lang w:eastAsia="zh-CN"/>
        </w:rPr>
      </w:pPr>
      <w:r>
        <w:rPr>
          <w:rFonts w:ascii="华文宋体" w:eastAsia="华文宋体" w:hAnsi="华文宋体" w:hint="eastAsia"/>
          <w:lang w:eastAsia="zh-CN"/>
        </w:rPr>
        <w:t>“自己审查”，“先分辨自己”，根据上下文，保罗主要是提醒教会：主餐既然是提醒我们主在十字架的牺牲，（表明主牺牲的爱），那么当我们一面</w:t>
      </w:r>
      <w:r>
        <w:rPr>
          <w:rFonts w:ascii="华文宋体" w:eastAsia="华文宋体" w:hAnsi="华文宋体" w:hint="eastAsia"/>
          <w:lang w:eastAsia="zh-CN"/>
        </w:rPr>
        <w:t>声称记念主牺牲的爱，一面又亏待</w:t>
      </w:r>
      <w:r>
        <w:rPr>
          <w:rFonts w:ascii="华文宋体" w:eastAsia="华文宋体" w:hAnsi="华文宋体" w:hint="eastAsia"/>
          <w:lang w:eastAsia="zh-CN"/>
        </w:rPr>
        <w:t>缺乏的弟兄姊妹，我们岂不是自欺欺人，假冒伪善吗？</w:t>
      </w:r>
    </w:p>
    <w:p w:rsidR="00090428" w:rsidRDefault="00090428" w:rsidP="00090428">
      <w:pPr>
        <w:spacing w:after="0"/>
        <w:rPr>
          <w:rFonts w:ascii="华文宋体" w:eastAsia="华文宋体" w:hAnsi="华文宋体"/>
          <w:lang w:eastAsia="zh-CN"/>
        </w:rPr>
      </w:pPr>
    </w:p>
    <w:p w:rsidR="00090428" w:rsidRDefault="00090428" w:rsidP="00090428">
      <w:pPr>
        <w:pStyle w:val="ListParagraph"/>
        <w:numPr>
          <w:ilvl w:val="0"/>
          <w:numId w:val="4"/>
        </w:numPr>
        <w:spacing w:after="0"/>
        <w:rPr>
          <w:rFonts w:ascii="华文宋体" w:eastAsia="华文宋体" w:hAnsi="华文宋体"/>
          <w:lang w:eastAsia="zh-CN"/>
        </w:rPr>
      </w:pPr>
      <w:r>
        <w:rPr>
          <w:rFonts w:ascii="华文宋体" w:eastAsia="华文宋体" w:hAnsi="华文宋体"/>
          <w:lang w:eastAsia="zh-CN"/>
        </w:rPr>
        <w:t xml:space="preserve">Vv. 33-34 </w:t>
      </w:r>
      <w:r>
        <w:rPr>
          <w:rFonts w:ascii="华文宋体" w:eastAsia="华文宋体" w:hAnsi="华文宋体" w:hint="eastAsia"/>
          <w:lang w:eastAsia="zh-CN"/>
        </w:rPr>
        <w:t>回到问题的核心</w:t>
      </w:r>
    </w:p>
    <w:p w:rsidR="00090428" w:rsidRDefault="00090428" w:rsidP="00090428">
      <w:pPr>
        <w:pStyle w:val="ListParagraph"/>
        <w:numPr>
          <w:ilvl w:val="0"/>
          <w:numId w:val="8"/>
        </w:numPr>
        <w:spacing w:after="0"/>
        <w:rPr>
          <w:rFonts w:ascii="华文宋体" w:eastAsia="华文宋体" w:hAnsi="华文宋体"/>
          <w:lang w:eastAsia="zh-CN"/>
        </w:rPr>
      </w:pPr>
    </w:p>
    <w:p w:rsidR="00090428" w:rsidRDefault="00090428" w:rsidP="00090428">
      <w:pPr>
        <w:pStyle w:val="ListParagraph"/>
        <w:numPr>
          <w:ilvl w:val="0"/>
          <w:numId w:val="8"/>
        </w:numPr>
        <w:spacing w:after="0"/>
        <w:rPr>
          <w:rFonts w:ascii="华文宋体" w:eastAsia="华文宋体" w:hAnsi="华文宋体"/>
          <w:lang w:eastAsia="zh-CN"/>
        </w:rPr>
      </w:pPr>
    </w:p>
    <w:p w:rsidR="00090428" w:rsidRPr="004378BF" w:rsidRDefault="00090428" w:rsidP="00090428">
      <w:pPr>
        <w:spacing w:after="0"/>
        <w:rPr>
          <w:rFonts w:ascii="华文宋体" w:eastAsia="华文宋体" w:hAnsi="华文宋体"/>
          <w:lang w:eastAsia="zh-CN"/>
        </w:rPr>
      </w:pPr>
    </w:p>
    <w:p w:rsidR="00090428" w:rsidRPr="007B0AA6" w:rsidRDefault="00090428" w:rsidP="00090428">
      <w:pPr>
        <w:pStyle w:val="ListParagraph"/>
        <w:numPr>
          <w:ilvl w:val="0"/>
          <w:numId w:val="2"/>
        </w:numPr>
        <w:spacing w:after="0"/>
        <w:rPr>
          <w:rFonts w:ascii="华文宋体" w:eastAsia="华文宋体" w:hAnsi="华文宋体"/>
          <w:lang w:eastAsia="zh-CN"/>
        </w:rPr>
      </w:pPr>
      <w:r>
        <w:rPr>
          <w:rFonts w:ascii="华文宋体" w:eastAsia="华文宋体" w:hAnsi="华文宋体" w:hint="eastAsia"/>
          <w:lang w:eastAsia="zh-CN"/>
        </w:rPr>
        <w:t>应用经文</w:t>
      </w:r>
    </w:p>
    <w:p w:rsidR="00090428" w:rsidRDefault="00090428" w:rsidP="00090428">
      <w:pPr>
        <w:pStyle w:val="ListParagraph"/>
        <w:numPr>
          <w:ilvl w:val="0"/>
          <w:numId w:val="1"/>
        </w:numPr>
        <w:spacing w:after="0"/>
        <w:rPr>
          <w:rFonts w:ascii="华文宋体" w:eastAsia="华文宋体" w:hAnsi="华文宋体"/>
          <w:lang w:eastAsia="zh-CN"/>
        </w:rPr>
      </w:pPr>
      <w:r>
        <w:rPr>
          <w:rFonts w:ascii="华文宋体" w:eastAsia="华文宋体" w:hAnsi="华文宋体" w:hint="eastAsia"/>
          <w:lang w:eastAsia="zh-CN"/>
        </w:rPr>
        <w:t>原则是什么？</w:t>
      </w:r>
      <w:bookmarkStart w:id="0" w:name="_GoBack"/>
      <w:bookmarkEnd w:id="0"/>
    </w:p>
    <w:p w:rsidR="00090428" w:rsidRPr="00A43BE4" w:rsidRDefault="00090428" w:rsidP="00090428">
      <w:pPr>
        <w:pStyle w:val="ListParagraph"/>
        <w:spacing w:after="0"/>
        <w:ind w:left="1353"/>
        <w:rPr>
          <w:rFonts w:ascii="华文宋体" w:eastAsia="华文宋体" w:hAnsi="华文宋体"/>
          <w:lang w:eastAsia="zh-CN"/>
        </w:rPr>
      </w:pPr>
    </w:p>
    <w:p w:rsidR="00090428" w:rsidRDefault="00090428" w:rsidP="00090428">
      <w:pPr>
        <w:pStyle w:val="ListParagraph"/>
        <w:spacing w:after="0"/>
        <w:ind w:left="786"/>
        <w:rPr>
          <w:rFonts w:ascii="华文宋体" w:eastAsia="华文宋体" w:hAnsi="华文宋体"/>
          <w:lang w:eastAsia="zh-CN"/>
        </w:rPr>
      </w:pPr>
    </w:p>
    <w:p w:rsidR="00E63CF5" w:rsidRDefault="00E63CF5"/>
    <w:sectPr w:rsidR="00E63CF5" w:rsidSect="00F0425C">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28" w:rsidRDefault="00090428" w:rsidP="00090428">
      <w:pPr>
        <w:spacing w:after="0"/>
      </w:pPr>
      <w:r>
        <w:separator/>
      </w:r>
    </w:p>
  </w:endnote>
  <w:endnote w:type="continuationSeparator" w:id="0">
    <w:p w:rsidR="00090428" w:rsidRDefault="00090428" w:rsidP="00090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华文宋体">
    <w:charset w:val="50"/>
    <w:family w:val="auto"/>
    <w:pitch w:val="variable"/>
    <w:sig w:usb0="00000287" w:usb1="080F0000" w:usb2="00000010" w:usb3="00000000" w:csb0="0004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28" w:rsidRDefault="00090428" w:rsidP="00090428">
      <w:pPr>
        <w:spacing w:after="0"/>
      </w:pPr>
      <w:r>
        <w:separator/>
      </w:r>
    </w:p>
  </w:footnote>
  <w:footnote w:type="continuationSeparator" w:id="0">
    <w:p w:rsidR="00090428" w:rsidRDefault="00090428" w:rsidP="00090428">
      <w:pPr>
        <w:spacing w:after="0"/>
      </w:pPr>
      <w:r>
        <w:continuationSeparator/>
      </w:r>
    </w:p>
  </w:footnote>
  <w:footnote w:id="1">
    <w:p w:rsidR="00090428" w:rsidRPr="00EC2DE7" w:rsidRDefault="00090428" w:rsidP="00090428">
      <w:pPr>
        <w:pStyle w:val="FootnoteText"/>
        <w:rPr>
          <w:sz w:val="20"/>
          <w:szCs w:val="20"/>
          <w:lang w:eastAsia="zh-CN"/>
        </w:rPr>
      </w:pPr>
      <w:r w:rsidRPr="00EC2DE7">
        <w:rPr>
          <w:rStyle w:val="FootnoteReference"/>
          <w:sz w:val="20"/>
          <w:szCs w:val="20"/>
        </w:rPr>
        <w:footnoteRef/>
      </w:r>
      <w:r w:rsidRPr="00EC2DE7">
        <w:rPr>
          <w:sz w:val="20"/>
          <w:szCs w:val="20"/>
        </w:rPr>
        <w:t xml:space="preserve"> </w:t>
      </w:r>
      <w:r w:rsidRPr="00EC2DE7">
        <w:rPr>
          <w:rFonts w:ascii="Times New Roman" w:hAnsi="Times New Roman" w:cs="Times New Roman"/>
          <w:sz w:val="20"/>
          <w:szCs w:val="20"/>
        </w:rPr>
        <w:t xml:space="preserve">Gordon D. Fee, </w:t>
      </w:r>
      <w:r w:rsidRPr="00EC2DE7">
        <w:rPr>
          <w:rFonts w:ascii="Times New Roman" w:hAnsi="Times New Roman" w:cs="Times New Roman"/>
          <w:i/>
          <w:sz w:val="20"/>
          <w:szCs w:val="20"/>
        </w:rPr>
        <w:t>The First Epistle to the Corinthians</w:t>
      </w:r>
      <w:r w:rsidRPr="00EC2DE7">
        <w:rPr>
          <w:rFonts w:ascii="Times New Roman" w:hAnsi="Times New Roman" w:cs="Times New Roman"/>
          <w:sz w:val="20"/>
          <w:szCs w:val="20"/>
        </w:rPr>
        <w:t xml:space="preserve">, </w:t>
      </w:r>
      <w:r w:rsidRPr="00EC2DE7">
        <w:rPr>
          <w:rFonts w:ascii="Times New Roman" w:hAnsi="Times New Roman" w:cs="Times New Roman"/>
          <w:sz w:val="20"/>
          <w:szCs w:val="20"/>
          <w:lang w:eastAsia="zh-CN"/>
        </w:rPr>
        <w:t>The New International Commentary on the New Testament</w:t>
      </w:r>
      <w:r w:rsidRPr="00EC2DE7">
        <w:rPr>
          <w:rFonts w:ascii="Times New Roman" w:hAnsi="Times New Roman" w:cs="Times New Roman"/>
          <w:sz w:val="20"/>
          <w:szCs w:val="20"/>
        </w:rPr>
        <w:t xml:space="preserve"> (Grand Rapids: Eerdmans, 1987)</w:t>
      </w:r>
      <w:r w:rsidRPr="00EC2DE7">
        <w:rPr>
          <w:rFonts w:ascii="Times New Roman" w:hAnsi="Times New Roman" w:cs="Times New Roman"/>
          <w:sz w:val="20"/>
          <w:szCs w:val="20"/>
          <w:lang w:eastAsia="zh-CN"/>
        </w:rPr>
        <w:t xml:space="preserve">, 534; </w:t>
      </w:r>
      <w:r w:rsidRPr="00EC2DE7">
        <w:rPr>
          <w:rFonts w:ascii="Times New Roman" w:hAnsi="Times New Roman" w:cs="Times New Roman"/>
          <w:sz w:val="20"/>
          <w:szCs w:val="20"/>
        </w:rPr>
        <w:t xml:space="preserve">David Garland, </w:t>
      </w:r>
      <w:r w:rsidRPr="00EC2DE7">
        <w:rPr>
          <w:rFonts w:ascii="Times New Roman" w:hAnsi="Times New Roman" w:cs="Times New Roman"/>
          <w:i/>
          <w:sz w:val="20"/>
          <w:szCs w:val="20"/>
        </w:rPr>
        <w:t>1 Corinthians</w:t>
      </w:r>
      <w:r w:rsidRPr="00EC2DE7">
        <w:rPr>
          <w:rFonts w:ascii="Times New Roman" w:hAnsi="Times New Roman" w:cs="Times New Roman"/>
          <w:sz w:val="20"/>
          <w:szCs w:val="20"/>
        </w:rPr>
        <w:t>, Exegetical Commentary on the New Testament. Ed. Robert Yarborough and Robert Stein (Grand Rapids: Baker, 2003)</w:t>
      </w:r>
      <w:proofErr w:type="gramStart"/>
      <w:r w:rsidRPr="00EC2DE7">
        <w:rPr>
          <w:rFonts w:ascii="Times New Roman" w:hAnsi="Times New Roman" w:cs="Times New Roman"/>
          <w:sz w:val="20"/>
          <w:szCs w:val="20"/>
        </w:rPr>
        <w:t>,  533</w:t>
      </w:r>
      <w:proofErr w:type="gramEnd"/>
      <w:r w:rsidRPr="00EC2DE7">
        <w:rPr>
          <w:rFonts w:ascii="Times New Roman" w:hAnsi="Times New Roman" w:cs="Times New Roman"/>
          <w:sz w:val="20"/>
          <w:szCs w:val="20"/>
        </w:rPr>
        <w:t>.</w:t>
      </w:r>
    </w:p>
  </w:footnote>
  <w:footnote w:id="2">
    <w:p w:rsidR="00090428" w:rsidRPr="00EC2DE7" w:rsidRDefault="00090428" w:rsidP="00090428">
      <w:pPr>
        <w:pStyle w:val="FootnoteText"/>
        <w:rPr>
          <w:rFonts w:ascii="Times New Roman" w:hAnsi="Times New Roman" w:cs="Times New Roman"/>
          <w:sz w:val="20"/>
          <w:szCs w:val="20"/>
          <w:lang w:eastAsia="zh-CN"/>
        </w:rPr>
      </w:pPr>
      <w:r w:rsidRPr="00EC2DE7">
        <w:rPr>
          <w:rStyle w:val="FootnoteReference"/>
          <w:rFonts w:ascii="Times New Roman" w:hAnsi="Times New Roman" w:cs="Times New Roman"/>
          <w:sz w:val="20"/>
          <w:szCs w:val="20"/>
        </w:rPr>
        <w:footnoteRef/>
      </w:r>
      <w:r w:rsidRPr="00EC2DE7">
        <w:rPr>
          <w:rFonts w:ascii="Times New Roman" w:hAnsi="Times New Roman" w:cs="Times New Roman"/>
          <w:sz w:val="20"/>
          <w:szCs w:val="20"/>
        </w:rPr>
        <w:t xml:space="preserve"> Ben </w:t>
      </w:r>
      <w:proofErr w:type="spellStart"/>
      <w:r w:rsidRPr="00EC2DE7">
        <w:rPr>
          <w:rFonts w:ascii="Times New Roman" w:hAnsi="Times New Roman" w:cs="Times New Roman"/>
          <w:sz w:val="20"/>
          <w:szCs w:val="20"/>
        </w:rPr>
        <w:t>Witherington</w:t>
      </w:r>
      <w:proofErr w:type="spellEnd"/>
      <w:r w:rsidRPr="00EC2DE7">
        <w:rPr>
          <w:rFonts w:ascii="Times New Roman" w:hAnsi="Times New Roman" w:cs="Times New Roman"/>
          <w:sz w:val="20"/>
          <w:szCs w:val="20"/>
        </w:rPr>
        <w:t xml:space="preserve"> III, Conflict &amp; Community In Corinth (Grand Rapids: Eerdmans, 1995), 241.</w:t>
      </w:r>
    </w:p>
  </w:footnote>
  <w:footnote w:id="3">
    <w:p w:rsidR="00090428" w:rsidRPr="00EC2DE7" w:rsidRDefault="00090428" w:rsidP="00090428">
      <w:pPr>
        <w:pStyle w:val="FootnoteText"/>
        <w:rPr>
          <w:rFonts w:ascii="宋体" w:eastAsia="宋体" w:hAnsi="宋体" w:cs="宋体"/>
          <w:lang w:eastAsia="zh-CN"/>
        </w:rPr>
      </w:pPr>
      <w:r w:rsidRPr="00EC2DE7">
        <w:rPr>
          <w:rStyle w:val="FootnoteReference"/>
          <w:rFonts w:ascii="Times New Roman" w:hAnsi="Times New Roman" w:cs="Times New Roman"/>
          <w:sz w:val="20"/>
          <w:szCs w:val="20"/>
        </w:rPr>
        <w:footnoteRef/>
      </w:r>
      <w:r w:rsidRPr="00EC2DE7">
        <w:rPr>
          <w:rFonts w:ascii="Times New Roman" w:hAnsi="Times New Roman" w:cs="Times New Roman"/>
          <w:sz w:val="20"/>
          <w:szCs w:val="20"/>
        </w:rPr>
        <w:t xml:space="preserve"> Ibid;</w:t>
      </w:r>
      <w:r>
        <w:t xml:space="preserve"> </w:t>
      </w:r>
      <w:r w:rsidRPr="002A0F0F">
        <w:rPr>
          <w:rFonts w:ascii="Times New Roman" w:hAnsi="Times New Roman" w:cs="Times New Roman"/>
          <w:sz w:val="20"/>
          <w:szCs w:val="20"/>
        </w:rPr>
        <w:t xml:space="preserve">Gordon D. Fee, </w:t>
      </w:r>
      <w:r w:rsidRPr="002A0F0F">
        <w:rPr>
          <w:rFonts w:ascii="Times New Roman" w:hAnsi="Times New Roman" w:cs="Times New Roman"/>
          <w:i/>
          <w:sz w:val="20"/>
          <w:szCs w:val="20"/>
        </w:rPr>
        <w:t>The First Epistle to the Corinthians</w:t>
      </w:r>
      <w:r w:rsidRPr="002A0F0F">
        <w:rPr>
          <w:rFonts w:ascii="Times New Roman" w:hAnsi="Times New Roman" w:cs="Times New Roman"/>
          <w:sz w:val="20"/>
          <w:szCs w:val="20"/>
        </w:rPr>
        <w:t xml:space="preserve">, </w:t>
      </w:r>
      <w:r w:rsidRPr="002A0F0F">
        <w:rPr>
          <w:rFonts w:ascii="Times New Roman" w:hAnsi="Times New Roman" w:cs="Times New Roman"/>
          <w:sz w:val="20"/>
          <w:szCs w:val="20"/>
          <w:lang w:eastAsia="zh-CN"/>
        </w:rPr>
        <w:t>The New International Commentary on the New Testament</w:t>
      </w:r>
      <w:r w:rsidRPr="002A0F0F">
        <w:rPr>
          <w:rFonts w:ascii="Times New Roman" w:hAnsi="Times New Roman" w:cs="Times New Roman"/>
          <w:sz w:val="20"/>
          <w:szCs w:val="20"/>
        </w:rPr>
        <w:t xml:space="preserve"> (Grand Rapids: Eerdmans, 1987)</w:t>
      </w:r>
      <w:r w:rsidRPr="002A0F0F">
        <w:rPr>
          <w:rFonts w:ascii="Times New Roman" w:hAnsi="Times New Roman" w:cs="Times New Roman"/>
          <w:sz w:val="20"/>
          <w:szCs w:val="20"/>
          <w:lang w:eastAsia="zh-CN"/>
        </w:rPr>
        <w:t>,</w:t>
      </w:r>
      <w:r>
        <w:rPr>
          <w:rFonts w:ascii="Times New Roman" w:hAnsi="Times New Roman" w:cs="Times New Roman"/>
          <w:sz w:val="20"/>
          <w:szCs w:val="20"/>
          <w:lang w:eastAsia="zh-CN"/>
        </w:rPr>
        <w:t xml:space="preserve"> 533-534; </w:t>
      </w:r>
      <w:r w:rsidRPr="002A0F0F">
        <w:rPr>
          <w:rFonts w:ascii="Times New Roman" w:hAnsi="Times New Roman" w:cs="Times New Roman"/>
          <w:sz w:val="20"/>
          <w:szCs w:val="20"/>
        </w:rPr>
        <w:t xml:space="preserve">Craig </w:t>
      </w:r>
      <w:proofErr w:type="spellStart"/>
      <w:r w:rsidRPr="002A0F0F">
        <w:rPr>
          <w:rFonts w:ascii="Times New Roman" w:hAnsi="Times New Roman" w:cs="Times New Roman"/>
          <w:sz w:val="20"/>
          <w:szCs w:val="20"/>
        </w:rPr>
        <w:t>Blomberg</w:t>
      </w:r>
      <w:proofErr w:type="spellEnd"/>
      <w:r w:rsidRPr="002A0F0F">
        <w:rPr>
          <w:rFonts w:ascii="Times New Roman" w:hAnsi="Times New Roman" w:cs="Times New Roman"/>
          <w:sz w:val="20"/>
          <w:szCs w:val="20"/>
        </w:rPr>
        <w:t xml:space="preserve">, </w:t>
      </w:r>
      <w:r w:rsidRPr="002A0F0F">
        <w:rPr>
          <w:rFonts w:ascii="Times New Roman" w:hAnsi="Times New Roman" w:cs="Times New Roman"/>
          <w:i/>
          <w:sz w:val="20"/>
          <w:szCs w:val="20"/>
        </w:rPr>
        <w:t>1 Corinthians</w:t>
      </w:r>
      <w:r w:rsidRPr="002A0F0F">
        <w:rPr>
          <w:rFonts w:ascii="Times New Roman" w:hAnsi="Times New Roman" w:cs="Times New Roman"/>
          <w:sz w:val="20"/>
          <w:szCs w:val="20"/>
        </w:rPr>
        <w:t>, The NIV Application Commentary (Grand Rapids: Zondervan Publishing House, 1994),</w:t>
      </w:r>
      <w:r>
        <w:rPr>
          <w:rFonts w:ascii="Times New Roman" w:hAnsi="Times New Roman" w:cs="Times New Roman"/>
          <w:sz w:val="20"/>
          <w:szCs w:val="20"/>
        </w:rPr>
        <w:t xml:space="preserve"> 228</w:t>
      </w:r>
      <w:r>
        <w:rPr>
          <w:rFonts w:ascii="宋体" w:eastAsia="宋体" w:hAnsi="宋体" w:cs="宋体"/>
          <w:sz w:val="20"/>
          <w:szCs w:val="20"/>
          <w:lang w:eastAsia="zh-CN"/>
        </w:rPr>
        <w:t xml:space="preserve">. </w:t>
      </w:r>
    </w:p>
  </w:footnote>
  <w:footnote w:id="4">
    <w:p w:rsidR="00090428" w:rsidRPr="001C1B43" w:rsidRDefault="00090428" w:rsidP="00090428">
      <w:pPr>
        <w:pStyle w:val="FootnoteText"/>
        <w:rPr>
          <w:sz w:val="20"/>
          <w:szCs w:val="20"/>
          <w:lang w:eastAsia="zh-CN"/>
        </w:rPr>
      </w:pPr>
      <w:r w:rsidRPr="001C1B43">
        <w:rPr>
          <w:rStyle w:val="FootnoteReference"/>
          <w:sz w:val="20"/>
          <w:szCs w:val="20"/>
        </w:rPr>
        <w:footnoteRef/>
      </w:r>
      <w:r w:rsidRPr="001C1B43">
        <w:rPr>
          <w:sz w:val="20"/>
          <w:szCs w:val="20"/>
        </w:rPr>
        <w:t xml:space="preserve"> </w:t>
      </w:r>
      <w:r w:rsidRPr="001C1B43">
        <w:rPr>
          <w:rFonts w:ascii="Times New Roman" w:hAnsi="Times New Roman" w:cs="Times New Roman"/>
          <w:sz w:val="20"/>
          <w:szCs w:val="20"/>
        </w:rPr>
        <w:t xml:space="preserve">Craig </w:t>
      </w:r>
      <w:proofErr w:type="spellStart"/>
      <w:r w:rsidRPr="001C1B43">
        <w:rPr>
          <w:rFonts w:ascii="Times New Roman" w:hAnsi="Times New Roman" w:cs="Times New Roman"/>
          <w:sz w:val="20"/>
          <w:szCs w:val="20"/>
        </w:rPr>
        <w:t>Blomberg</w:t>
      </w:r>
      <w:proofErr w:type="spellEnd"/>
      <w:r w:rsidRPr="001C1B43">
        <w:rPr>
          <w:rFonts w:ascii="Times New Roman" w:hAnsi="Times New Roman" w:cs="Times New Roman"/>
          <w:sz w:val="20"/>
          <w:szCs w:val="20"/>
        </w:rPr>
        <w:t xml:space="preserve">, </w:t>
      </w:r>
      <w:r w:rsidRPr="001C1B43">
        <w:rPr>
          <w:rFonts w:ascii="Times New Roman" w:hAnsi="Times New Roman" w:cs="Times New Roman"/>
          <w:i/>
          <w:sz w:val="20"/>
          <w:szCs w:val="20"/>
        </w:rPr>
        <w:t>1 Corinthians</w:t>
      </w:r>
      <w:r w:rsidRPr="001C1B43">
        <w:rPr>
          <w:rFonts w:ascii="Times New Roman" w:hAnsi="Times New Roman" w:cs="Times New Roman"/>
          <w:sz w:val="20"/>
          <w:szCs w:val="20"/>
        </w:rPr>
        <w:t>, The NIV Application Commentary (Grand Rapids: Zondervan Publishing House, 1994), 228</w:t>
      </w:r>
      <w:r w:rsidRPr="001C1B43">
        <w:rPr>
          <w:rFonts w:ascii="宋体" w:eastAsia="宋体" w:hAnsi="宋体" w:cs="宋体"/>
          <w:sz w:val="20"/>
          <w:szCs w:val="20"/>
          <w:lang w:eastAsia="zh-CN"/>
        </w:rPr>
        <w:t>.</w:t>
      </w:r>
    </w:p>
  </w:footnote>
  <w:footnote w:id="5">
    <w:p w:rsidR="00090428" w:rsidRPr="004920CD" w:rsidRDefault="00090428" w:rsidP="00090428">
      <w:pPr>
        <w:pStyle w:val="FootnoteText"/>
        <w:rPr>
          <w:rFonts w:ascii="宋体" w:eastAsia="宋体" w:hAnsi="宋体" w:cs="宋体"/>
          <w:sz w:val="20"/>
          <w:szCs w:val="20"/>
        </w:rPr>
      </w:pPr>
      <w:r w:rsidRPr="004920CD">
        <w:rPr>
          <w:rStyle w:val="FootnoteReference"/>
          <w:sz w:val="20"/>
          <w:szCs w:val="20"/>
        </w:rPr>
        <w:footnoteRef/>
      </w:r>
      <w:r w:rsidRPr="004920CD">
        <w:rPr>
          <w:sz w:val="20"/>
          <w:szCs w:val="20"/>
        </w:rPr>
        <w:t xml:space="preserve"> </w:t>
      </w:r>
      <w:r w:rsidRPr="004920CD">
        <w:rPr>
          <w:rFonts w:ascii="Times New Roman" w:hAnsi="Times New Roman" w:cs="Times New Roman"/>
          <w:sz w:val="20"/>
          <w:szCs w:val="20"/>
        </w:rPr>
        <w:t xml:space="preserve">Gordon D. Fee, </w:t>
      </w:r>
      <w:r w:rsidRPr="004920CD">
        <w:rPr>
          <w:rFonts w:ascii="Times New Roman" w:hAnsi="Times New Roman" w:cs="Times New Roman"/>
          <w:i/>
          <w:sz w:val="20"/>
          <w:szCs w:val="20"/>
        </w:rPr>
        <w:t>The First Epistle to the Corinthians</w:t>
      </w:r>
      <w:r w:rsidRPr="004920CD">
        <w:rPr>
          <w:rFonts w:ascii="Times New Roman" w:hAnsi="Times New Roman" w:cs="Times New Roman"/>
          <w:sz w:val="20"/>
          <w:szCs w:val="20"/>
        </w:rPr>
        <w:t xml:space="preserve">, </w:t>
      </w:r>
      <w:r w:rsidRPr="004920CD">
        <w:rPr>
          <w:rFonts w:ascii="Times New Roman" w:hAnsi="Times New Roman" w:cs="Times New Roman"/>
          <w:sz w:val="20"/>
          <w:szCs w:val="20"/>
          <w:lang w:eastAsia="zh-CN"/>
        </w:rPr>
        <w:t>The New International Commentary on the New Testament</w:t>
      </w:r>
      <w:r w:rsidRPr="004920CD">
        <w:rPr>
          <w:rFonts w:ascii="Times New Roman" w:hAnsi="Times New Roman" w:cs="Times New Roman"/>
          <w:sz w:val="20"/>
          <w:szCs w:val="20"/>
        </w:rPr>
        <w:t xml:space="preserve"> (Grand Rapids: Eerdmans, 1987)</w:t>
      </w:r>
      <w:r w:rsidRPr="004920CD">
        <w:rPr>
          <w:rFonts w:ascii="Times New Roman" w:hAnsi="Times New Roman" w:cs="Times New Roman"/>
          <w:sz w:val="20"/>
          <w:szCs w:val="20"/>
          <w:lang w:eastAsia="zh-CN"/>
        </w:rPr>
        <w:t>, 533</w:t>
      </w:r>
      <w:r w:rsidRPr="004920CD">
        <w:rPr>
          <w:rFonts w:ascii="宋体" w:eastAsia="宋体" w:hAnsi="宋体" w:cs="宋体"/>
          <w:sz w:val="20"/>
          <w:szCs w:val="20"/>
          <w:lang w:eastAsia="zh-C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EA1"/>
    <w:multiLevelType w:val="hybridMultilevel"/>
    <w:tmpl w:val="DA8A79F2"/>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nsid w:val="10BB1580"/>
    <w:multiLevelType w:val="hybridMultilevel"/>
    <w:tmpl w:val="20F83DB6"/>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6611AC9"/>
    <w:multiLevelType w:val="hybridMultilevel"/>
    <w:tmpl w:val="9C9A3D5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5275DCC"/>
    <w:multiLevelType w:val="hybridMultilevel"/>
    <w:tmpl w:val="9C00561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3D506AF4"/>
    <w:multiLevelType w:val="hybridMultilevel"/>
    <w:tmpl w:val="233627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55AF2"/>
    <w:multiLevelType w:val="hybridMultilevel"/>
    <w:tmpl w:val="6010A70C"/>
    <w:lvl w:ilvl="0" w:tplc="04090017">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nsid w:val="4FE373ED"/>
    <w:multiLevelType w:val="hybridMultilevel"/>
    <w:tmpl w:val="5A700EF2"/>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5CB96CBB"/>
    <w:multiLevelType w:val="hybridMultilevel"/>
    <w:tmpl w:val="FDD8DBF8"/>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28"/>
    <w:rsid w:val="00090428"/>
    <w:rsid w:val="00E63CF5"/>
    <w:rsid w:val="00F04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0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28"/>
    <w:pPr>
      <w:ind w:left="720"/>
      <w:contextualSpacing/>
    </w:pPr>
  </w:style>
  <w:style w:type="paragraph" w:styleId="FootnoteText">
    <w:name w:val="footnote text"/>
    <w:basedOn w:val="Normal"/>
    <w:link w:val="FootnoteTextChar"/>
    <w:uiPriority w:val="99"/>
    <w:unhideWhenUsed/>
    <w:rsid w:val="00090428"/>
    <w:pPr>
      <w:spacing w:after="0"/>
    </w:pPr>
  </w:style>
  <w:style w:type="character" w:customStyle="1" w:styleId="FootnoteTextChar">
    <w:name w:val="Footnote Text Char"/>
    <w:basedOn w:val="DefaultParagraphFont"/>
    <w:link w:val="FootnoteText"/>
    <w:uiPriority w:val="99"/>
    <w:rsid w:val="00090428"/>
  </w:style>
  <w:style w:type="character" w:styleId="FootnoteReference">
    <w:name w:val="footnote reference"/>
    <w:basedOn w:val="DefaultParagraphFont"/>
    <w:uiPriority w:val="99"/>
    <w:unhideWhenUsed/>
    <w:rsid w:val="00090428"/>
    <w:rPr>
      <w:vertAlign w:val="superscript"/>
    </w:rPr>
  </w:style>
  <w:style w:type="table" w:styleId="TableGrid">
    <w:name w:val="Table Grid"/>
    <w:basedOn w:val="TableNormal"/>
    <w:uiPriority w:val="59"/>
    <w:rsid w:val="000904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28"/>
    <w:pPr>
      <w:ind w:left="720"/>
      <w:contextualSpacing/>
    </w:pPr>
  </w:style>
  <w:style w:type="paragraph" w:styleId="FootnoteText">
    <w:name w:val="footnote text"/>
    <w:basedOn w:val="Normal"/>
    <w:link w:val="FootnoteTextChar"/>
    <w:uiPriority w:val="99"/>
    <w:unhideWhenUsed/>
    <w:rsid w:val="00090428"/>
    <w:pPr>
      <w:spacing w:after="0"/>
    </w:pPr>
  </w:style>
  <w:style w:type="character" w:customStyle="1" w:styleId="FootnoteTextChar">
    <w:name w:val="Footnote Text Char"/>
    <w:basedOn w:val="DefaultParagraphFont"/>
    <w:link w:val="FootnoteText"/>
    <w:uiPriority w:val="99"/>
    <w:rsid w:val="00090428"/>
  </w:style>
  <w:style w:type="character" w:styleId="FootnoteReference">
    <w:name w:val="footnote reference"/>
    <w:basedOn w:val="DefaultParagraphFont"/>
    <w:uiPriority w:val="99"/>
    <w:unhideWhenUsed/>
    <w:rsid w:val="00090428"/>
    <w:rPr>
      <w:vertAlign w:val="superscript"/>
    </w:rPr>
  </w:style>
  <w:style w:type="table" w:styleId="TableGrid">
    <w:name w:val="Table Grid"/>
    <w:basedOn w:val="TableNormal"/>
    <w:uiPriority w:val="59"/>
    <w:rsid w:val="000904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117</Words>
  <Characters>673</Characters>
  <Application>Microsoft Macintosh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Cen</dc:creator>
  <cp:keywords/>
  <dc:description/>
  <cp:lastModifiedBy>Esther Cen</cp:lastModifiedBy>
  <cp:revision>1</cp:revision>
  <dcterms:created xsi:type="dcterms:W3CDTF">2013-07-14T14:36:00Z</dcterms:created>
  <dcterms:modified xsi:type="dcterms:W3CDTF">2013-07-14T14:39:00Z</dcterms:modified>
</cp:coreProperties>
</file>